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3" w:rsidRDefault="00D31C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1CF3" w:rsidRDefault="00D31C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1C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CF3" w:rsidRDefault="00D31CF3">
            <w:pPr>
              <w:pStyle w:val="ConsPlusNormal"/>
              <w:outlineLvl w:val="0"/>
            </w:pPr>
            <w:r>
              <w:t>28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CF3" w:rsidRDefault="00D31CF3">
            <w:pPr>
              <w:pStyle w:val="ConsPlusNormal"/>
              <w:jc w:val="right"/>
              <w:outlineLvl w:val="0"/>
            </w:pPr>
            <w:r>
              <w:t>N 95-ОЗ</w:t>
            </w:r>
          </w:p>
        </w:tc>
      </w:tr>
    </w:tbl>
    <w:p w:rsidR="00D31CF3" w:rsidRDefault="00D31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CF3" w:rsidRDefault="00D31CF3">
      <w:pPr>
        <w:pStyle w:val="ConsPlusNormal"/>
      </w:pPr>
    </w:p>
    <w:p w:rsidR="00D31CF3" w:rsidRDefault="00D31CF3">
      <w:pPr>
        <w:pStyle w:val="ConsPlusTitle"/>
        <w:jc w:val="center"/>
      </w:pPr>
      <w:r>
        <w:t>РОССИЙСКАЯ ФЕДЕРАЦИЯ</w:t>
      </w:r>
    </w:p>
    <w:p w:rsidR="00D31CF3" w:rsidRDefault="00D31CF3">
      <w:pPr>
        <w:pStyle w:val="ConsPlusTitle"/>
        <w:jc w:val="center"/>
      </w:pPr>
      <w:r>
        <w:t>КЕМЕРОВСКАЯ ОБЛАСТЬ</w:t>
      </w:r>
    </w:p>
    <w:p w:rsidR="00D31CF3" w:rsidRDefault="00D31CF3">
      <w:pPr>
        <w:pStyle w:val="ConsPlusTitle"/>
        <w:jc w:val="center"/>
      </w:pPr>
    </w:p>
    <w:p w:rsidR="00D31CF3" w:rsidRDefault="00D31CF3">
      <w:pPr>
        <w:pStyle w:val="ConsPlusTitle"/>
        <w:jc w:val="center"/>
      </w:pPr>
      <w:r>
        <w:t>ЗАКОН</w:t>
      </w:r>
    </w:p>
    <w:p w:rsidR="00D31CF3" w:rsidRDefault="00D31CF3">
      <w:pPr>
        <w:pStyle w:val="ConsPlusTitle"/>
        <w:jc w:val="center"/>
      </w:pPr>
    </w:p>
    <w:p w:rsidR="00D31CF3" w:rsidRDefault="00D31CF3">
      <w:pPr>
        <w:pStyle w:val="ConsPlusTitle"/>
        <w:jc w:val="center"/>
      </w:pPr>
      <w:r>
        <w:t>О ТРАНСПОРТНОМ НАЛОГЕ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jc w:val="right"/>
      </w:pPr>
      <w:proofErr w:type="gramStart"/>
      <w:r>
        <w:t>Принят</w:t>
      </w:r>
      <w:proofErr w:type="gramEnd"/>
    </w:p>
    <w:p w:rsidR="00D31CF3" w:rsidRDefault="00D31CF3">
      <w:pPr>
        <w:pStyle w:val="ConsPlusNormal"/>
        <w:jc w:val="right"/>
      </w:pPr>
      <w:r>
        <w:t>Советом народных депутатов</w:t>
      </w:r>
    </w:p>
    <w:p w:rsidR="00D31CF3" w:rsidRDefault="00D31CF3">
      <w:pPr>
        <w:pStyle w:val="ConsPlusNormal"/>
        <w:jc w:val="right"/>
      </w:pPr>
      <w:r>
        <w:t>Кемеровской области</w:t>
      </w:r>
    </w:p>
    <w:p w:rsidR="00D31CF3" w:rsidRDefault="00D31CF3">
      <w:pPr>
        <w:pStyle w:val="ConsPlusNormal"/>
        <w:jc w:val="right"/>
      </w:pPr>
      <w:r>
        <w:t>27 ноября 2002 г. N 1730</w:t>
      </w:r>
    </w:p>
    <w:p w:rsidR="00D31CF3" w:rsidRDefault="00D31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CF3" w:rsidRDefault="00D31C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13.01.2003 </w:t>
            </w:r>
            <w:hyperlink r:id="rId6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26.11.2003 </w:t>
            </w:r>
            <w:hyperlink r:id="rId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08.04.2004 </w:t>
            </w:r>
            <w:hyperlink r:id="rId8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26.07.2004 </w:t>
            </w:r>
            <w:hyperlink r:id="rId9" w:history="1">
              <w:r>
                <w:rPr>
                  <w:color w:val="0000FF"/>
                </w:rPr>
                <w:t>N 50-ОЗ</w:t>
              </w:r>
            </w:hyperlink>
            <w:r>
              <w:rPr>
                <w:color w:val="392C69"/>
              </w:rPr>
              <w:t xml:space="preserve">, от 25.11.2004 </w:t>
            </w:r>
            <w:hyperlink r:id="rId10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13.07.2005 </w:t>
            </w:r>
            <w:hyperlink r:id="rId11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14.11.2005 </w:t>
            </w:r>
            <w:hyperlink r:id="rId12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 xml:space="preserve">, от 08.02.2006 </w:t>
            </w:r>
            <w:hyperlink r:id="rId13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12.07.2006 </w:t>
            </w:r>
            <w:hyperlink r:id="rId14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29.11.2006 </w:t>
            </w:r>
            <w:hyperlink r:id="rId15" w:history="1">
              <w:r>
                <w:rPr>
                  <w:color w:val="0000FF"/>
                </w:rPr>
                <w:t>N 149-ОЗ</w:t>
              </w:r>
            </w:hyperlink>
            <w:r>
              <w:rPr>
                <w:color w:val="392C69"/>
              </w:rPr>
              <w:t xml:space="preserve">, от 27.12.2007 </w:t>
            </w:r>
            <w:hyperlink r:id="rId16" w:history="1">
              <w:r>
                <w:rPr>
                  <w:color w:val="0000FF"/>
                </w:rPr>
                <w:t>N 196-ОЗ</w:t>
              </w:r>
            </w:hyperlink>
            <w:r>
              <w:rPr>
                <w:color w:val="392C69"/>
              </w:rPr>
              <w:t xml:space="preserve">, от 25.04.2008 </w:t>
            </w:r>
            <w:hyperlink r:id="rId17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18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26.11.2009 </w:t>
            </w:r>
            <w:hyperlink r:id="rId19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24.11.2010 </w:t>
            </w:r>
            <w:hyperlink r:id="rId20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02.06.2011 </w:t>
            </w:r>
            <w:hyperlink r:id="rId21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 xml:space="preserve">, от 18.11.2011 </w:t>
            </w:r>
            <w:hyperlink r:id="rId22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 xml:space="preserve">, от 26.04.2012 </w:t>
            </w:r>
            <w:hyperlink r:id="rId23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26.11.2013 </w:t>
            </w:r>
            <w:hyperlink r:id="rId24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 xml:space="preserve">, от 07.10.2014 </w:t>
            </w:r>
            <w:hyperlink r:id="rId25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6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27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25.11.2015 </w:t>
            </w:r>
            <w:hyperlink r:id="rId28" w:history="1">
              <w:r>
                <w:rPr>
                  <w:color w:val="0000FF"/>
                </w:rPr>
                <w:t>N 103-ОЗ</w:t>
              </w:r>
            </w:hyperlink>
            <w:r>
              <w:rPr>
                <w:color w:val="392C69"/>
              </w:rPr>
              <w:t xml:space="preserve">, от 27.09.2018 </w:t>
            </w:r>
            <w:hyperlink r:id="rId29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30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,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D31CF3" w:rsidRDefault="00D31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31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32" w:history="1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 xml:space="preserve">, от 03.11.2020 </w:t>
            </w:r>
            <w:hyperlink r:id="rId33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CF3" w:rsidRDefault="00D31CF3">
      <w:pPr>
        <w:pStyle w:val="ConsPlusNormal"/>
        <w:jc w:val="center"/>
      </w:pPr>
    </w:p>
    <w:p w:rsidR="00D31CF3" w:rsidRDefault="00D31CF3">
      <w:pPr>
        <w:pStyle w:val="ConsPlusNormal"/>
        <w:ind w:firstLine="540"/>
        <w:jc w:val="both"/>
      </w:pPr>
      <w:r>
        <w:t xml:space="preserve">Настоящим Законом на основании </w:t>
      </w:r>
      <w:hyperlink r:id="rId34" w:history="1">
        <w:r>
          <w:rPr>
            <w:color w:val="0000FF"/>
          </w:rPr>
          <w:t>главы 28</w:t>
        </w:r>
      </w:hyperlink>
      <w:r>
        <w:t xml:space="preserve"> Налогового кодекса Российской Федерации устанавливается и вводится транспортный налог на территории Кемеровской области, определяются ставка налога, налоговые льготы и основания для их использования.</w:t>
      </w:r>
    </w:p>
    <w:p w:rsidR="00D31CF3" w:rsidRDefault="00D31CF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25.04.2008 N 29-ОЗ,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124-ОЗ)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  <w:outlineLvl w:val="1"/>
      </w:pPr>
      <w:r>
        <w:t>Статья 1. Установить и ввести в действие транспортный налог на территории Кемеровской области.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>Установить налоговые ставки транспортного налога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единицу транспортного средства в следующих размерах:</w:t>
      </w:r>
      <w:proofErr w:type="gramEnd"/>
    </w:p>
    <w:p w:rsidR="00D31CF3" w:rsidRDefault="00D31C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124-ОЗ)</w:t>
      </w:r>
    </w:p>
    <w:p w:rsidR="00D31CF3" w:rsidRDefault="00D31C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D31CF3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lastRenderedPageBreak/>
              <w:t>Автомобили легковые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80 л. с. (до 58,84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5,5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80 л. </w:t>
            </w:r>
            <w:proofErr w:type="gramStart"/>
            <w:r>
              <w:t>с</w:t>
            </w:r>
            <w:proofErr w:type="gramEnd"/>
            <w:r>
              <w:t xml:space="preserve">. до 100 л. </w:t>
            </w:r>
            <w:proofErr w:type="gramStart"/>
            <w:r>
              <w:t>с</w:t>
            </w:r>
            <w:proofErr w:type="gramEnd"/>
            <w:r>
              <w:t>. (свыше 58,84 кВт до 73,55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8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14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45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68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135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20 л. с. (до 14,7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20 л. </w:t>
            </w:r>
            <w:proofErr w:type="gramStart"/>
            <w:r>
              <w:t>с</w:t>
            </w:r>
            <w:proofErr w:type="gramEnd"/>
            <w:r>
              <w:t xml:space="preserve">. до 35 л. </w:t>
            </w:r>
            <w:proofErr w:type="gramStart"/>
            <w:r>
              <w:t>с</w:t>
            </w:r>
            <w:proofErr w:type="gramEnd"/>
            <w:r>
              <w:t>. (свыше 14,7 кВт до 25,74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10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35 л. </w:t>
            </w:r>
            <w:proofErr w:type="gramStart"/>
            <w:r>
              <w:t>с</w:t>
            </w:r>
            <w:proofErr w:type="gramEnd"/>
            <w:r>
              <w:t xml:space="preserve">. до 50 л. </w:t>
            </w:r>
            <w:proofErr w:type="gramStart"/>
            <w:r>
              <w:t>с</w:t>
            </w:r>
            <w:proofErr w:type="gramEnd"/>
            <w:r>
              <w:t>. (свыше 25,74 кВт до 36,77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15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50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36,77 кВт до 110,33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30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свыше 150 л. с. (свыше 110,33 кВт)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50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Кемеровской области от 07.10.2014 N 89-ОЗ)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200 л. с. (до 147,1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25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200 л. с. (свыше 147,1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45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25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40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50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65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250 л. с. (свыше 183,9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85</w:t>
            </w:r>
          </w:p>
        </w:tc>
      </w:tr>
      <w:tr w:rsidR="00D31CF3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25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50 л. с. (до 36,77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20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50 л. </w:t>
            </w:r>
            <w:proofErr w:type="gramStart"/>
            <w:r>
              <w:t>с</w:t>
            </w:r>
            <w:proofErr w:type="gramEnd"/>
            <w:r>
              <w:t xml:space="preserve">. до 100 л. </w:t>
            </w:r>
            <w:proofErr w:type="gramStart"/>
            <w:r>
              <w:t>с</w:t>
            </w:r>
            <w:proofErr w:type="gramEnd"/>
            <w:r>
              <w:t>. (свыше 36,77 кВт до 73,55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35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100 л. с. (свыше 73,55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50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lastRenderedPageBreak/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60 л. с. (до 44,13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8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60 л. с. (свыше 44,13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16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40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73,55 кВт до 147,1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80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500 л. </w:t>
            </w:r>
            <w:proofErr w:type="gramStart"/>
            <w:r>
              <w:t>с</w:t>
            </w:r>
            <w:proofErr w:type="gramEnd"/>
            <w:r>
              <w:t>. (свыше 147,1 кВт до 367,75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100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500 л. с. (свыше 367,75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130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>до 100 л. с. (до 73,55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60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110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свыше 150 л. с. (свыше 110,33 кВт)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150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D31CF3" w:rsidRDefault="00D31CF3">
            <w:pPr>
              <w:pStyle w:val="ConsPlusNormal"/>
              <w:jc w:val="center"/>
            </w:pPr>
            <w:r>
              <w:t>45</w:t>
            </w:r>
          </w:p>
        </w:tc>
      </w:tr>
      <w:tr w:rsidR="00D31CF3">
        <w:tblPrEx>
          <w:tblBorders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Кемеровской области - Кузбасса от 20.11.2019 N 124-ОЗ)</w:t>
            </w:r>
          </w:p>
        </w:tc>
      </w:tr>
      <w:tr w:rsidR="00D31CF3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56</w:t>
            </w:r>
          </w:p>
        </w:tc>
      </w:tr>
      <w:tr w:rsidR="00D31CF3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45</w:t>
            </w:r>
          </w:p>
        </w:tc>
      </w:tr>
      <w:tr w:rsidR="00D31CF3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31CF3" w:rsidRDefault="00D31CF3">
            <w:pPr>
              <w:pStyle w:val="ConsPlusNormal"/>
              <w:jc w:val="center"/>
            </w:pPr>
            <w:r>
              <w:t>450</w:t>
            </w:r>
          </w:p>
        </w:tc>
      </w:tr>
    </w:tbl>
    <w:p w:rsidR="00D31CF3" w:rsidRDefault="00D31CF3">
      <w:pPr>
        <w:pStyle w:val="ConsPlusNormal"/>
        <w:jc w:val="both"/>
      </w:pPr>
      <w:r>
        <w:t xml:space="preserve">(статья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24.11.2010 N 115-ОЗ)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  <w:outlineLvl w:val="1"/>
      </w:pPr>
      <w:r>
        <w:t xml:space="preserve">Статья 3. Утратила силу с 1 января 2021 года. - </w:t>
      </w:r>
      <w:hyperlink r:id="rId41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20.11.2019 N 124-ОЗ.</w:t>
      </w:r>
    </w:p>
    <w:p w:rsidR="00D31CF3" w:rsidRDefault="00D31CF3">
      <w:pPr>
        <w:pStyle w:val="ConsPlusNormal"/>
        <w:ind w:firstLine="540"/>
        <w:jc w:val="both"/>
      </w:pPr>
    </w:p>
    <w:p w:rsidR="00D31CF3" w:rsidRDefault="00D31CF3">
      <w:pPr>
        <w:pStyle w:val="ConsPlusNormal"/>
        <w:ind w:firstLine="540"/>
        <w:jc w:val="both"/>
        <w:outlineLvl w:val="1"/>
      </w:pPr>
      <w:r>
        <w:t xml:space="preserve">Статья 4. Утратила силу с 1 января 2015 года. - </w:t>
      </w:r>
      <w:hyperlink r:id="rId42" w:history="1">
        <w:r>
          <w:rPr>
            <w:color w:val="0000FF"/>
          </w:rPr>
          <w:t>Закон</w:t>
        </w:r>
      </w:hyperlink>
      <w:r>
        <w:t xml:space="preserve"> Кемеровской области от 07.10.2014 N 89-ОЗ.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  <w:outlineLvl w:val="1"/>
      </w:pPr>
      <w:r>
        <w:t xml:space="preserve">Статья 5. Утратила силу с 1 января 2021 года. - </w:t>
      </w:r>
      <w:hyperlink r:id="rId43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20.11.2019 N 124-ОЗ.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  <w:outlineLvl w:val="1"/>
      </w:pPr>
      <w:r>
        <w:t>Статья 6. От уплаты транспортного налога освобождаются: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6.1. Утратил силу с 1 января 2014 года. - </w:t>
      </w:r>
      <w:hyperlink r:id="rId44" w:history="1">
        <w:r>
          <w:rPr>
            <w:color w:val="0000FF"/>
          </w:rPr>
          <w:t>Закон</w:t>
        </w:r>
      </w:hyperlink>
      <w:r>
        <w:t xml:space="preserve"> Кемеровской области от 26.11.2013 N 118-ОЗ.</w:t>
      </w:r>
    </w:p>
    <w:p w:rsidR="00D31CF3" w:rsidRDefault="00D31CF3">
      <w:pPr>
        <w:pStyle w:val="ConsPlusNormal"/>
        <w:spacing w:before="220"/>
        <w:ind w:firstLine="540"/>
        <w:jc w:val="both"/>
      </w:pPr>
      <w:bookmarkStart w:id="0" w:name="P137"/>
      <w:bookmarkEnd w:id="0"/>
      <w:r>
        <w:t xml:space="preserve">6.2. </w:t>
      </w:r>
      <w:proofErr w:type="gramStart"/>
      <w:r>
        <w:t xml:space="preserve">Пенсионеры, получающие страховую пенсию по старости; физические лица, </w:t>
      </w:r>
      <w:r>
        <w:lastRenderedPageBreak/>
        <w:t xml:space="preserve">соответствующие условиям, необходимым для назначения страховой пенсии по старости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 декабря 2018 года; инвалиды I и II групп, получающие страховую пенсию по инвалидности или пенсию по инвалидности, если исчисленная сумма транспортного налога равна или менее 1500 рублей.</w:t>
      </w:r>
      <w:proofErr w:type="gramEnd"/>
      <w:r>
        <w:t xml:space="preserve"> Инвалиды III группы, получающие страховую пенсию по инвалидности или пенсию по инвалидности, если исчисленная сумма транспортного налога равна или менее 800 рублей.</w:t>
      </w:r>
    </w:p>
    <w:p w:rsidR="00D31CF3" w:rsidRDefault="00D31CF3">
      <w:pPr>
        <w:pStyle w:val="ConsPlusNormal"/>
        <w:jc w:val="both"/>
      </w:pPr>
      <w:r>
        <w:t xml:space="preserve">(в ред. Законов Кемеровской области от 23.09.2015 </w:t>
      </w:r>
      <w:hyperlink r:id="rId46" w:history="1">
        <w:r>
          <w:rPr>
            <w:color w:val="0000FF"/>
          </w:rPr>
          <w:t>N 77-ОЗ</w:t>
        </w:r>
      </w:hyperlink>
      <w:r>
        <w:t xml:space="preserve">, от 27.09.2018 </w:t>
      </w:r>
      <w:hyperlink r:id="rId47" w:history="1">
        <w:r>
          <w:rPr>
            <w:color w:val="0000FF"/>
          </w:rPr>
          <w:t>N 71-ОЗ</w:t>
        </w:r>
      </w:hyperlink>
      <w:r>
        <w:t>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Льгота предоставляется в отношении только одного транспортного средства по выбору налогоплательщика из следующих категорий транспортных средств: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автомобили легковые с мощностью двигателя до 200 л.с. (до 147,1 кВт) включительно;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автомобили грузовые с мощностью двигателя до 150 л.с. (до 110,33 кВт) включительно;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мотоциклы и мотороллеры с мощностью двигателя до 50 л.с. (до 36,77 кВт) включительно;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самоходные транспортные средства, машины и механизмы на пневматическом и гусеничном ходу с мощностью двигателя до 100 л.с. (до 73,55 кВт) включительно.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исчисленная сумма транспортного налога более 1500 рублей или 800 рублей соответственно, то исчисленная сумма транспортного налога снижается на 1500 рублей или на 800 рублей соответственно.</w:t>
      </w:r>
    </w:p>
    <w:p w:rsidR="00D31CF3" w:rsidRDefault="00D31CF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от 23.09.2015 N 77-ОЗ)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Льгота предоставляется при наличии у гражданина из числа лиц, указанных в </w:t>
      </w:r>
      <w:hyperlink w:anchor="P137" w:history="1">
        <w:r>
          <w:rPr>
            <w:color w:val="0000FF"/>
          </w:rPr>
          <w:t>абзаце первом</w:t>
        </w:r>
      </w:hyperlink>
      <w:r>
        <w:t xml:space="preserve"> настоящего пункта, или его супруги (супруга) удостоверения, подтверждающего право на управление соответствующим транспортным средством.</w:t>
      </w:r>
    </w:p>
    <w:p w:rsidR="00D31CF3" w:rsidRDefault="00D31CF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27.09.2018 N 71-ОЗ)</w:t>
      </w:r>
    </w:p>
    <w:p w:rsidR="00D31CF3" w:rsidRDefault="00D31CF3">
      <w:pPr>
        <w:pStyle w:val="ConsPlusNormal"/>
        <w:jc w:val="both"/>
      </w:pPr>
      <w:r>
        <w:t xml:space="preserve">(п. 6.2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от 24.11.2014 N 110-ОЗ)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6.3. Организации, осуществляющие образовательную деятельность по адаптированным основным общеобразовательным программам, организации для детей-сирот и детей, оставшихся без попечения родителей. Льгота предоставляется в отношении автобусов с мощностью двигателя до 200 л. с. (до 147,1 кВт) и грузовых автомобилей с мощностью двигателя до 150 л. с. (до 110,33 кВт) включительно.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27.12.2007 </w:t>
      </w:r>
      <w:hyperlink r:id="rId51" w:history="1">
        <w:r>
          <w:rPr>
            <w:color w:val="0000FF"/>
          </w:rPr>
          <w:t>N 196-ОЗ</w:t>
        </w:r>
      </w:hyperlink>
      <w:r>
        <w:t xml:space="preserve">, от 25.11.2015 </w:t>
      </w:r>
      <w:hyperlink r:id="rId52" w:history="1">
        <w:r>
          <w:rPr>
            <w:color w:val="0000FF"/>
          </w:rPr>
          <w:t>N 103-ОЗ</w:t>
        </w:r>
      </w:hyperlink>
      <w:r>
        <w:t>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6.4. Специализированные учреждения для несовершеннолетних, нуждающихся в социальной реабилитации; реабилитационные центры для детей и подростков с ограниченными возможностями; центры социальной помощи семье и детям. Льгота предоставляется в отношении автобусов с мощностью двигателя до 200 л. с. (до 147,1 кВт) и грузовых автомобилей с мощностью двигателя до 150 л. с. (до 110,33 кВт) включительно.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26.07.2004 N 50-ОЗ)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6.5. Медицинские организации. Льгота предоставляется только в отношении специально оборудованных санитарных транспортных сре</w:t>
      </w:r>
      <w:proofErr w:type="gramStart"/>
      <w:r>
        <w:t>дств дл</w:t>
      </w:r>
      <w:proofErr w:type="gramEnd"/>
      <w:r>
        <w:t>я перевозки больных.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103-ОЗ)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6.6. Профессиональные образовательные организации, которые осуществляют подготовку специалистов по специальностям: водитель автомобиля категорий "В", "С"; тракторист-машинист сельскохозяйственного производства категорий "А", "В", "С", "D", "Е", "F". Льгота предоставляется только в отношении учебных транспортных средств, которые используются в учебном процессе.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103-ОЗ)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lastRenderedPageBreak/>
        <w:t>6.7. Расположенные в сельских населенных пунктах: дошкольные образовательные организации, общеобразовательные организации, профессиональные образовательные организации. Льгота предоставляется в отношении автобусов с мощностью двигателя до 200 л. с. (до 147,1 кВт) и грузовых автомобилей с мощностью двигателя до 150 л. с. (до 110,33 кВт) включительно.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от 25.11.2015 N 103-ОЗ)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6.8. Сельскохозяйственные товаропроизводители, осуществляющие предпринимательскую деятельность по производству сельскохозяйственной продукции, удельный вес доходов от реализации которой в общей сумме их доходов составляет 70 процентов и более. Льгота предоставляется в отношении всех видов автотранспортных средств, кроме легковых автомобилей.</w:t>
      </w:r>
    </w:p>
    <w:p w:rsidR="00D31CF3" w:rsidRDefault="00D31CF3">
      <w:pPr>
        <w:pStyle w:val="ConsPlusNormal"/>
        <w:jc w:val="both"/>
      </w:pPr>
      <w:r>
        <w:t xml:space="preserve">(п. 6.8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Кемеровской области от 13.01.2003 N 121-ОЗ;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от 02.10.2008 N 90-ОЗ)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6.9. Организации потребительской кооперации, созданные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19.06.92 N 3085-1 "О потребительской кооперации (потребительских обществах, их союзах) в Российской Федерации". Льгота предоставляется в отношении двух категорий транспортных средств: "грузовые автомобили" и "другие самоходные транспортные средства, машины и механизмы на пневматическом и гусеничном ходу".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6.9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Кемеровской области от 13.01.2003 N 121-ОЗ; в ред. Законов Кемеровской области от 13.07.2005 </w:t>
      </w:r>
      <w:hyperlink r:id="rId61" w:history="1">
        <w:r>
          <w:rPr>
            <w:color w:val="0000FF"/>
          </w:rPr>
          <w:t>N 80-ОЗ</w:t>
        </w:r>
      </w:hyperlink>
      <w:r>
        <w:t xml:space="preserve">, от 07.10.2014 </w:t>
      </w:r>
      <w:hyperlink r:id="rId62" w:history="1">
        <w:r>
          <w:rPr>
            <w:color w:val="0000FF"/>
          </w:rPr>
          <w:t>N 89-ОЗ</w:t>
        </w:r>
      </w:hyperlink>
      <w:r>
        <w:t>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6.10. Общественные организации инвалидов. Льгота предоставляется только в отношении транспортных средств, используемых для осуществления уставной деятельности.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6.10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Кемеровской области от 13.01.2003 N 121-ОЗ)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6.11. Утратил силу с 1 января 2021 года. - </w:t>
      </w:r>
      <w:hyperlink r:id="rId64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03.11.2020 N 117-ОЗ.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6.12. </w:t>
      </w:r>
      <w:proofErr w:type="gramStart"/>
      <w:r>
        <w:t xml:space="preserve">Пенсионеры, получающие страховую пенсию по старости, физические лица, соответствующие условиям, необходимым для назначения страховой пенсии по старости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 декабря 2018 года, инвалиды I и II групп, получающие страховую пенсию по инвалидности или пенсию по инвалидности и имеющие катера или моторные лодки с мощностью двигателя до 100</w:t>
      </w:r>
      <w:proofErr w:type="gramEnd"/>
      <w:r>
        <w:t xml:space="preserve"> л. с. (73,55 кВт) включительно.</w:t>
      </w:r>
    </w:p>
    <w:p w:rsidR="00D31CF3" w:rsidRDefault="00D31CF3">
      <w:pPr>
        <w:pStyle w:val="ConsPlusNormal"/>
        <w:jc w:val="both"/>
      </w:pPr>
      <w:r>
        <w:t xml:space="preserve">(в ред. Законов Кемеровской области от 24.11.2010 </w:t>
      </w:r>
      <w:hyperlink r:id="rId66" w:history="1">
        <w:r>
          <w:rPr>
            <w:color w:val="0000FF"/>
          </w:rPr>
          <w:t>N 115-ОЗ</w:t>
        </w:r>
      </w:hyperlink>
      <w:r>
        <w:t xml:space="preserve">, от 23.09.2015 </w:t>
      </w:r>
      <w:hyperlink r:id="rId67" w:history="1">
        <w:r>
          <w:rPr>
            <w:color w:val="0000FF"/>
          </w:rPr>
          <w:t>N 77-ОЗ</w:t>
        </w:r>
      </w:hyperlink>
      <w:r>
        <w:t xml:space="preserve">, от 27.09.2018 </w:t>
      </w:r>
      <w:hyperlink r:id="rId68" w:history="1">
        <w:r>
          <w:rPr>
            <w:color w:val="0000FF"/>
          </w:rPr>
          <w:t>N 71-ОЗ</w:t>
        </w:r>
      </w:hyperlink>
      <w:r>
        <w:t>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Льгота предоставляется в отношении одного транспортного средства.</w:t>
      </w:r>
    </w:p>
    <w:p w:rsidR="00D31CF3" w:rsidRDefault="00D31CF3">
      <w:pPr>
        <w:pStyle w:val="ConsPlusNormal"/>
        <w:jc w:val="both"/>
      </w:pPr>
      <w:r>
        <w:t xml:space="preserve">(п. 6.12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Кемеровской области от 25.04.2008 N 29-ОЗ)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6.13. </w:t>
      </w:r>
      <w:proofErr w:type="gramStart"/>
      <w:r>
        <w:t>Родители (приемные родители, усыновители) в семье, имеющей в своем составе совместно проживающих с ними трех и более детей в возрасте до 18 лет включительно и (или) детей, обучающихся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если исчисленная сумма транспортного</w:t>
      </w:r>
      <w:proofErr w:type="gramEnd"/>
      <w:r>
        <w:t xml:space="preserve"> налога в отношении легкового автомобиля </w:t>
      </w:r>
      <w:proofErr w:type="gramStart"/>
      <w:r>
        <w:t>равна</w:t>
      </w:r>
      <w:proofErr w:type="gramEnd"/>
      <w:r>
        <w:t xml:space="preserve"> или менее 9000 рублей, в отношении мотоцикла или мотороллера - равна или менее 350 рублей, в отношении автобуса - равна или менее 3750 рублей.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исчисленная сумма транспортного налога более сумм, указанных в абзаце первом настоящего пункта, то исчисленная сумма транспортного налога в отношении легкового автомобиля уменьшается на сумму 9000 рублей, в отношении мотоцикла или мотороллера - на сумму 350 рублей, в отношении автобуса - на сумму 3750 рублей.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lastRenderedPageBreak/>
        <w:t>Льгота предоставляется только одному налогоплательщику и в отношении только одного транспортного средства по выбору налогоплательщика.</w:t>
      </w:r>
    </w:p>
    <w:p w:rsidR="00D31CF3" w:rsidRDefault="00D31CF3">
      <w:pPr>
        <w:pStyle w:val="ConsPlusNormal"/>
        <w:jc w:val="both"/>
      </w:pPr>
      <w:r>
        <w:t xml:space="preserve">(п. 6.13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159-ОЗ)</w:t>
      </w:r>
    </w:p>
    <w:p w:rsidR="00D31CF3" w:rsidRDefault="00D31CF3">
      <w:pPr>
        <w:pStyle w:val="ConsPlusNormal"/>
        <w:spacing w:before="220"/>
        <w:ind w:firstLine="540"/>
        <w:jc w:val="both"/>
      </w:pPr>
      <w:bookmarkStart w:id="1" w:name="P174"/>
      <w:bookmarkEnd w:id="1"/>
      <w:r>
        <w:t xml:space="preserve">6.14. </w:t>
      </w:r>
      <w:proofErr w:type="gramStart"/>
      <w:r>
        <w:t xml:space="preserve">Организации, осуществляющие деятельность по перевозке пассажиров автомобильным транспортом общего пользования в отношении транспортных средств, осуществляющих регулярные перевозки пассажиров и багажа, за исключением предусмотренных </w:t>
      </w:r>
      <w:hyperlink r:id="rId71" w:history="1">
        <w:r>
          <w:rPr>
            <w:color w:val="0000FF"/>
          </w:rPr>
          <w:t>подпунктом 2 пункта 3 статьи 19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перевозок (маршрутных такси), и оборудованных для использования природного газа в качестве моторного топлива.</w:t>
      </w:r>
      <w:proofErr w:type="gramEnd"/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Льгота предоставляется при наличии документов установленного образца, подтверждающих осуществление указанных в </w:t>
      </w:r>
      <w:hyperlink w:anchor="P174" w:history="1">
        <w:r>
          <w:rPr>
            <w:color w:val="0000FF"/>
          </w:rPr>
          <w:t>абзаце первом</w:t>
        </w:r>
      </w:hyperlink>
      <w:r>
        <w:t xml:space="preserve"> настоящего пункта перевозок и установку оборудования для использования природного газа в качестве моторного топлива.</w:t>
      </w:r>
    </w:p>
    <w:p w:rsidR="00D31CF3" w:rsidRDefault="00D31CF3">
      <w:pPr>
        <w:pStyle w:val="ConsPlusNormal"/>
        <w:jc w:val="both"/>
      </w:pPr>
      <w:r>
        <w:t xml:space="preserve">(п. 6.14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Законом</w:t>
        </w:r>
      </w:hyperlink>
      <w:r>
        <w:t xml:space="preserve"> Кемеровской области от 26.11.2013 N 118-ОЗ)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6.15. Организации, использующие труд инвалидов, при условии доли оплаты труда инвалидов в общем фонде оплаты труда не менее 50 процентов. Льгота предоставляется в отношении двух категорий транспортных средств: "грузовые автомобили" и "другие самоходные транспортные средства, машины и механизмы на пневматическом и гусеничном ходу.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6.15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Кемеровской области от 07.10.2014 N 89-ОЗ)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6.16. </w:t>
      </w:r>
      <w:proofErr w:type="gramStart"/>
      <w:r>
        <w:t>Члены семей работников угледобывающих предприятий, расположенных на территории Кемеровской области, погибших (умерших) в результате несчастных случаев на производстве (родители, вдовы (вдовцы), не вступившие в повторный брак, дети в возрасте до 18 лет включительно и (или) дети, обучающиеся по очной форме обучения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</w:t>
      </w:r>
      <w:proofErr w:type="gramEnd"/>
      <w:r>
        <w:t xml:space="preserve"> достижения ими возраста 23 лет), если исчисленная сумма транспортного налога равна или менее 1500 рублей.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Льгота предоставляется в отношении только одного транспортного средства по выбору налогоплательщика из следующих категорий транспортных средств: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автомобили легковые с мощностью двигателя до 150 л.с. (110,33 кВт) включительно;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мотоциклы и мотороллеры с мощностью двигателя до 35 л.с. (до 25,74 кВт) включительно;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автомобили грузовые с мощностью двигателя до 150 л.с. (до 110,33 кВт) включительно;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другие самоходные транспортные средства, машины и механизмы на пневматическом и гусеничном ходу с мощностью двигателя до 100 л.с. (до 73,55 кВт) включительно.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исчисленная сумма транспортного налога более 1500 рублей, то исчисленная сумма транспортного налога снижается на 1500 рублей.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Льгота предоставляется при наличии у налогоплательщика удостоверения, подтверждающего право на управление соответствующим транспортным средством, и документов, подтверждающих право на льготу.</w:t>
      </w:r>
    </w:p>
    <w:p w:rsidR="00D31CF3" w:rsidRDefault="00D31CF3">
      <w:pPr>
        <w:pStyle w:val="ConsPlusNormal"/>
        <w:jc w:val="both"/>
      </w:pPr>
      <w:r>
        <w:t xml:space="preserve">(п. 6.16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Кемеровской области от 23.09.2015 N 77-ОЗ)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6.17. Один из родителей (приемных родителей, усыновителей), опекунов, попечителей ребенка-инвалида, совместно проживающего с ним.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 xml:space="preserve">Льгота предоставляется в отношении только одного транспортного средства - легкового автомобиля с мощностью двигателя до 200 л.с. (147,1 кВт) включительно при наличии у налогоплательщика удостоверения, подтверждающего право на управление указанным в </w:t>
      </w:r>
      <w:r>
        <w:lastRenderedPageBreak/>
        <w:t>настоящем пункте транспортным средством.</w:t>
      </w:r>
    </w:p>
    <w:p w:rsidR="00D31CF3" w:rsidRDefault="00D31CF3">
      <w:pPr>
        <w:pStyle w:val="ConsPlusNormal"/>
        <w:jc w:val="both"/>
      </w:pPr>
      <w:r>
        <w:t xml:space="preserve">(п. 6.17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Кемеровской области от 24.12.2018 N 116-ОЗ)</w:t>
      </w:r>
    </w:p>
    <w:p w:rsidR="00D31CF3" w:rsidRDefault="00D31CF3">
      <w:pPr>
        <w:pStyle w:val="ConsPlusNormal"/>
        <w:spacing w:before="220"/>
        <w:ind w:firstLine="540"/>
        <w:jc w:val="both"/>
      </w:pPr>
      <w:r>
        <w:t>6.18. Налогоплательщики в отношении весельных лодок, а также моторных лодок мощностью двигателя до 10,9 л. с. (до 8 кВт) включительно.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6.18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20.11.2019 N 124-ОЗ)</w:t>
      </w:r>
    </w:p>
    <w:p w:rsidR="00D31CF3" w:rsidRDefault="00D31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CF3" w:rsidRDefault="00D31CF3">
            <w:pPr>
              <w:pStyle w:val="ConsPlusNormal"/>
              <w:jc w:val="both"/>
            </w:pPr>
            <w:r>
              <w:rPr>
                <w:color w:val="392C69"/>
              </w:rPr>
              <w:t>Пункт 6.19 действует до 31 декабря 2023 года включительно (</w:t>
            </w:r>
            <w:hyperlink r:id="rId77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Закона Кемеровской области - Кузбасса от 24.12.2019 N 159-ОЗ).</w:t>
            </w:r>
          </w:p>
        </w:tc>
      </w:tr>
    </w:tbl>
    <w:p w:rsidR="00D31CF3" w:rsidRDefault="00D31CF3">
      <w:pPr>
        <w:pStyle w:val="ConsPlusNormal"/>
        <w:spacing w:before="280"/>
        <w:ind w:firstLine="540"/>
        <w:jc w:val="both"/>
      </w:pPr>
      <w:r>
        <w:t>6.19. Налогоплательщики в отношении транспортных средств, оснащенных исключительно электрическими двигателями.</w:t>
      </w:r>
    </w:p>
    <w:p w:rsidR="00D31CF3" w:rsidRDefault="00D31C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6.19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24.12.2019 N 159-ОЗ)</w:t>
      </w:r>
    </w:p>
    <w:p w:rsidR="00D31CF3" w:rsidRDefault="00D31CF3">
      <w:pPr>
        <w:pStyle w:val="ConsPlusNormal"/>
        <w:ind w:firstLine="540"/>
        <w:jc w:val="both"/>
      </w:pPr>
    </w:p>
    <w:p w:rsidR="00D31CF3" w:rsidRDefault="00D31CF3">
      <w:pPr>
        <w:pStyle w:val="ConsPlusNormal"/>
        <w:ind w:firstLine="540"/>
        <w:jc w:val="both"/>
        <w:outlineLvl w:val="1"/>
      </w:pPr>
      <w:r>
        <w:t xml:space="preserve">Статья 6-1. </w:t>
      </w:r>
      <w:proofErr w:type="gramStart"/>
      <w:r>
        <w:t>Исключена</w:t>
      </w:r>
      <w:proofErr w:type="gramEnd"/>
      <w:r>
        <w:t xml:space="preserve"> с 1 января 2006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Кемеровской области от 13.07.2005 N 80-ОЗ.</w:t>
      </w:r>
    </w:p>
    <w:p w:rsidR="00D31CF3" w:rsidRDefault="00D31CF3">
      <w:pPr>
        <w:pStyle w:val="ConsPlusNormal"/>
        <w:ind w:firstLine="540"/>
        <w:jc w:val="both"/>
      </w:pPr>
    </w:p>
    <w:p w:rsidR="00D31CF3" w:rsidRDefault="00D31CF3">
      <w:pPr>
        <w:pStyle w:val="ConsPlusNormal"/>
        <w:ind w:firstLine="540"/>
        <w:jc w:val="both"/>
        <w:outlineLvl w:val="1"/>
      </w:pPr>
      <w:r>
        <w:t>Статья 7. Настоящий Закон вступает в силу с 1 января 2003 г., но не ранее чем по истечении месяца со дня его опубликования.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jc w:val="right"/>
      </w:pPr>
      <w:r>
        <w:t>Губернатор</w:t>
      </w:r>
    </w:p>
    <w:p w:rsidR="00D31CF3" w:rsidRDefault="00D31CF3">
      <w:pPr>
        <w:pStyle w:val="ConsPlusNormal"/>
        <w:jc w:val="right"/>
      </w:pPr>
      <w:r>
        <w:t>Кемеровской области</w:t>
      </w:r>
    </w:p>
    <w:p w:rsidR="00D31CF3" w:rsidRDefault="00D31CF3">
      <w:pPr>
        <w:pStyle w:val="ConsPlusNormal"/>
        <w:jc w:val="right"/>
      </w:pPr>
      <w:r>
        <w:t>А.М.ТУЛЕЕВ</w:t>
      </w:r>
    </w:p>
    <w:p w:rsidR="00D31CF3" w:rsidRDefault="00D31CF3">
      <w:pPr>
        <w:pStyle w:val="ConsPlusNormal"/>
      </w:pPr>
      <w:r>
        <w:t>г. Кемерово</w:t>
      </w:r>
    </w:p>
    <w:p w:rsidR="00D31CF3" w:rsidRDefault="00D31CF3">
      <w:pPr>
        <w:pStyle w:val="ConsPlusNormal"/>
        <w:spacing w:before="220"/>
      </w:pPr>
      <w:r>
        <w:t>28 ноября 2002 года</w:t>
      </w:r>
    </w:p>
    <w:p w:rsidR="00D31CF3" w:rsidRDefault="00D31CF3">
      <w:pPr>
        <w:pStyle w:val="ConsPlusNormal"/>
        <w:spacing w:before="220"/>
      </w:pPr>
      <w:r>
        <w:t>N 95-ОЗ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  <w:jc w:val="right"/>
        <w:outlineLvl w:val="0"/>
      </w:pPr>
      <w:r>
        <w:t>Приложение 1</w:t>
      </w:r>
    </w:p>
    <w:p w:rsidR="00D31CF3" w:rsidRDefault="00D31CF3">
      <w:pPr>
        <w:pStyle w:val="ConsPlusNormal"/>
        <w:jc w:val="right"/>
      </w:pPr>
      <w:r>
        <w:t>к Закону Кемеровской области</w:t>
      </w:r>
    </w:p>
    <w:p w:rsidR="00D31CF3" w:rsidRDefault="00D31CF3">
      <w:pPr>
        <w:pStyle w:val="ConsPlusNormal"/>
        <w:jc w:val="right"/>
      </w:pPr>
      <w:r>
        <w:t>от 28 ноября 2002 г. N 95-ОЗ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jc w:val="center"/>
      </w:pPr>
      <w:r>
        <w:t>НАЛОГОВАЯ ДЕКЛАРАЦИЯ ПО ТРАНСПОРТНОМУ НАЛОГУ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</w:pPr>
      <w:r>
        <w:t xml:space="preserve">Исключена. - </w:t>
      </w:r>
      <w:hyperlink r:id="rId80" w:history="1">
        <w:r>
          <w:rPr>
            <w:color w:val="0000FF"/>
          </w:rPr>
          <w:t>Закон</w:t>
        </w:r>
      </w:hyperlink>
      <w:r>
        <w:t xml:space="preserve"> Кемеровской области от 08.04.2004 N 21-ОЗ.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  <w:jc w:val="right"/>
        <w:outlineLvl w:val="0"/>
      </w:pPr>
      <w:r>
        <w:t>Приложение 2</w:t>
      </w:r>
    </w:p>
    <w:p w:rsidR="00D31CF3" w:rsidRDefault="00D31CF3">
      <w:pPr>
        <w:pStyle w:val="ConsPlusNormal"/>
        <w:jc w:val="right"/>
      </w:pPr>
      <w:r>
        <w:t>к Закону Кемеровской области</w:t>
      </w:r>
    </w:p>
    <w:p w:rsidR="00D31CF3" w:rsidRDefault="00D31CF3">
      <w:pPr>
        <w:pStyle w:val="ConsPlusNormal"/>
        <w:jc w:val="right"/>
      </w:pPr>
      <w:r>
        <w:t>от 28 ноября 2002 г. N 95-ОЗ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jc w:val="center"/>
      </w:pPr>
      <w:r>
        <w:t>РАСЧЕТ АВАНСОВЫХ ПЛАТЕЖЕЙ ПО ТРАНСПОРТНОМУ НАЛОГУ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Закон</w:t>
        </w:r>
      </w:hyperlink>
      <w:r>
        <w:t xml:space="preserve"> Кемеровской области от 08.04.2004 N 21-ОЗ.</w:t>
      </w:r>
    </w:p>
    <w:p w:rsidR="00D31CF3" w:rsidRDefault="00D31CF3">
      <w:pPr>
        <w:pStyle w:val="ConsPlusNormal"/>
      </w:pPr>
    </w:p>
    <w:p w:rsidR="00D31CF3" w:rsidRDefault="00D31CF3">
      <w:pPr>
        <w:pStyle w:val="ConsPlusNormal"/>
      </w:pPr>
    </w:p>
    <w:p w:rsidR="00D31CF3" w:rsidRDefault="00D31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167" w:rsidRDefault="00867167">
      <w:bookmarkStart w:id="2" w:name="_GoBack"/>
      <w:bookmarkEnd w:id="2"/>
    </w:p>
    <w:sectPr w:rsidR="00867167" w:rsidSect="0022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F3"/>
    <w:rsid w:val="00867167"/>
    <w:rsid w:val="00D3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8B263EAD7ACF332F0983D9D2D6D4C11572D27BFCD8D77ED025C272EB9C7F30C503B57A7B6606E83400F8838673EFD23CF0066ED1B3C3CE7000D6TBU6J" TargetMode="External"/><Relationship Id="rId18" Type="http://schemas.openxmlformats.org/officeDocument/2006/relationships/hyperlink" Target="consultantplus://offline/ref=318B263EAD7ACF332F0983D9D2D6D4C11572D27BFFD9D073D125C272EB9C7F30C503B57A7B6606E83400F88C8673EFD23CF0066ED1B3C3CE7000D6TBU6J" TargetMode="External"/><Relationship Id="rId26" Type="http://schemas.openxmlformats.org/officeDocument/2006/relationships/hyperlink" Target="consultantplus://offline/ref=318B263EAD7ACF332F0983D9D2D6D4C11572D27BFBDADB72DF25C272EB9C7F30C503B57A7B6606E83400F88C8673EFD23CF0066ED1B3C3CE7000D6TBU6J" TargetMode="External"/><Relationship Id="rId39" Type="http://schemas.openxmlformats.org/officeDocument/2006/relationships/hyperlink" Target="consultantplus://offline/ref=318B263EAD7ACF332F0983D9D2D6D4C11572D27BFCDBD273DB299F78E3C57332C20CEA6D7C2F0AE93400F8858F2CEAC72DA80A6ECEADC0D36C02D4B5T6U2J" TargetMode="External"/><Relationship Id="rId21" Type="http://schemas.openxmlformats.org/officeDocument/2006/relationships/hyperlink" Target="consultantplus://offline/ref=318B263EAD7ACF332F0983D9D2D6D4C11572D27BFEDDD77BD825C272EB9C7F30C503B57A7B6606E83400F88C8673EFD23CF0066ED1B3C3CE7000D6TBU6J" TargetMode="External"/><Relationship Id="rId34" Type="http://schemas.openxmlformats.org/officeDocument/2006/relationships/hyperlink" Target="consultantplus://offline/ref=318B263EAD7ACF332F099DD4C4BA88C4127E8B75FADBD82C857A992FBC957567824CEC383F680EE9370BACD5C972B39768E3076CD1B1C0D2T7U3J" TargetMode="External"/><Relationship Id="rId42" Type="http://schemas.openxmlformats.org/officeDocument/2006/relationships/hyperlink" Target="consultantplus://offline/ref=318B263EAD7ACF332F0983D9D2D6D4C11572D27BFBDBDB72DE25C272EB9C7F30C503B57A7B6606E83400FB818673EFD23CF0066ED1B3C3CE7000D6TBU6J" TargetMode="External"/><Relationship Id="rId47" Type="http://schemas.openxmlformats.org/officeDocument/2006/relationships/hyperlink" Target="consultantplus://offline/ref=318B263EAD7ACF332F0983D9D2D6D4C11572D27BF4DADA7CD025C272EB9C7F30C503B57A7B6606E83400F9848673EFD23CF0066ED1B3C3CE7000D6TBU6J" TargetMode="External"/><Relationship Id="rId50" Type="http://schemas.openxmlformats.org/officeDocument/2006/relationships/hyperlink" Target="consultantplus://offline/ref=318B263EAD7ACF332F0983D9D2D6D4C11572D27BFBDADB72DF25C272EB9C7F30C503B57A7B6606E83400F88C8673EFD23CF0066ED1B3C3CE7000D6TBU6J" TargetMode="External"/><Relationship Id="rId55" Type="http://schemas.openxmlformats.org/officeDocument/2006/relationships/hyperlink" Target="consultantplus://offline/ref=318B263EAD7ACF332F0983D9D2D6D4C11572D27BFBD2D272DD25C272EB9C7F30C503B57A7B6606E83400F9868673EFD23CF0066ED1B3C3CE7000D6TBU6J" TargetMode="External"/><Relationship Id="rId63" Type="http://schemas.openxmlformats.org/officeDocument/2006/relationships/hyperlink" Target="consultantplus://offline/ref=318B263EAD7ACF332F0983D9D2D6D4C11572D27BFADCD27CD278C87AB2907D37CA5CA27D326A07E83401F88FD976FAC364FC0671CFB0DED27202TDU5J" TargetMode="External"/><Relationship Id="rId68" Type="http://schemas.openxmlformats.org/officeDocument/2006/relationships/hyperlink" Target="consultantplus://offline/ref=318B263EAD7ACF332F0983D9D2D6D4C11572D27BF4DADA7CD025C272EB9C7F30C503B57A7B6606E83400F9878673EFD23CF0066ED1B3C3CE7000D6TBU6J" TargetMode="External"/><Relationship Id="rId76" Type="http://schemas.openxmlformats.org/officeDocument/2006/relationships/hyperlink" Target="consultantplus://offline/ref=318B263EAD7ACF332F0983D9D2D6D4C11572D27BFCDBD273DB299F78E3C57332C20CEA6D7C2F0AE93400F885882CEAC72DA80A6ECEADC0D36C02D4B5T6U2J" TargetMode="External"/><Relationship Id="rId7" Type="http://schemas.openxmlformats.org/officeDocument/2006/relationships/hyperlink" Target="consultantplus://offline/ref=318B263EAD7ACF332F0983D9D2D6D4C11572D27BF4DBD473D278C87AB2907D37CA5CA27D326A07E83400FF8FD976FAC364FC0671CFB0DED27202TDU5J" TargetMode="External"/><Relationship Id="rId71" Type="http://schemas.openxmlformats.org/officeDocument/2006/relationships/hyperlink" Target="consultantplus://offline/ref=318B263EAD7ACF332F099DD4C4BA88C4127E8B71FED3D82C857A992FBC957567824CEC383F6B06ED3C0BACD5C972B39768E3076CD1B1C0D2T7U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8B263EAD7ACF332F0983D9D2D6D4C11572D27BFED8D77ADB25C272EB9C7F30C503B57A7B6606E83400F9818673EFD23CF0066ED1B3C3CE7000D6TBU6J" TargetMode="External"/><Relationship Id="rId29" Type="http://schemas.openxmlformats.org/officeDocument/2006/relationships/hyperlink" Target="consultantplus://offline/ref=318B263EAD7ACF332F0983D9D2D6D4C11572D27BF4DADA7CD025C272EB9C7F30C503B57A7B6606E83400F88C8673EFD23CF0066ED1B3C3CE7000D6TBU6J" TargetMode="External"/><Relationship Id="rId11" Type="http://schemas.openxmlformats.org/officeDocument/2006/relationships/hyperlink" Target="consultantplus://offline/ref=318B263EAD7ACF332F0983D9D2D6D4C11572D27BFCD8D273DC25C272EB9C7F30C503B57A7B6606E83400F8838673EFD23CF0066ED1B3C3CE7000D6TBU6J" TargetMode="External"/><Relationship Id="rId24" Type="http://schemas.openxmlformats.org/officeDocument/2006/relationships/hyperlink" Target="consultantplus://offline/ref=318B263EAD7ACF332F0983D9D2D6D4C11572D27BF8DFD278DB25C272EB9C7F30C503B57A7B6606E83400F88C8673EFD23CF0066ED1B3C3CE7000D6TBU6J" TargetMode="External"/><Relationship Id="rId32" Type="http://schemas.openxmlformats.org/officeDocument/2006/relationships/hyperlink" Target="consultantplus://offline/ref=318B263EAD7ACF332F0983D9D2D6D4C11572D27BFCDBD173DA2A9F78E3C57332C20CEA6D7C2F0AE93400F884852CEAC72DA80A6ECEADC0D36C02D4B5T6U2J" TargetMode="External"/><Relationship Id="rId37" Type="http://schemas.openxmlformats.org/officeDocument/2006/relationships/hyperlink" Target="consultantplus://offline/ref=318B263EAD7ACF332F0983D9D2D6D4C11572D27BFCDBD273DB299F78E3C57332C20CEA6D7C2F0AE93400F8858C2CEAC72DA80A6ECEADC0D36C02D4B5T6U2J" TargetMode="External"/><Relationship Id="rId40" Type="http://schemas.openxmlformats.org/officeDocument/2006/relationships/hyperlink" Target="consultantplus://offline/ref=318B263EAD7ACF332F0983D9D2D6D4C11572D27BFED9D678DA25C272EB9C7F30C503B57A7B6606E83400F88D8673EFD23CF0066ED1B3C3CE7000D6TBU6J" TargetMode="External"/><Relationship Id="rId45" Type="http://schemas.openxmlformats.org/officeDocument/2006/relationships/hyperlink" Target="consultantplus://offline/ref=318B263EAD7ACF332F099DD4C4BA88C4127E8B71F9D9D82C857A992FBC957567904CB4343E6A19E8371EFA848FT2U6J" TargetMode="External"/><Relationship Id="rId53" Type="http://schemas.openxmlformats.org/officeDocument/2006/relationships/hyperlink" Target="consultantplus://offline/ref=318B263EAD7ACF332F0983D9D2D6D4C11572D27BFCDBD078DB25C272EB9C7F30C503B57A7B6606E83400F8838673EFD23CF0066ED1B3C3CE7000D6TBU6J" TargetMode="External"/><Relationship Id="rId58" Type="http://schemas.openxmlformats.org/officeDocument/2006/relationships/hyperlink" Target="consultantplus://offline/ref=318B263EAD7ACF332F0983D9D2D6D4C11572D27BFFD9D073D125C272EB9C7F30C503B57A7B6606E83400F88C8673EFD23CF0066ED1B3C3CE7000D6TBU6J" TargetMode="External"/><Relationship Id="rId66" Type="http://schemas.openxmlformats.org/officeDocument/2006/relationships/hyperlink" Target="consultantplus://offline/ref=318B263EAD7ACF332F0983D9D2D6D4C11572D27BFED9D678DA25C272EB9C7F30C503B57A7B6606E83400FC848673EFD23CF0066ED1B3C3CE7000D6TBU6J" TargetMode="External"/><Relationship Id="rId74" Type="http://schemas.openxmlformats.org/officeDocument/2006/relationships/hyperlink" Target="consultantplus://offline/ref=318B263EAD7ACF332F0983D9D2D6D4C11572D27BFBD2D179DA25C272EB9C7F30C503B57A7B6606E83400F9818673EFD23CF0066ED1B3C3CE7000D6TBU6J" TargetMode="External"/><Relationship Id="rId79" Type="http://schemas.openxmlformats.org/officeDocument/2006/relationships/hyperlink" Target="consultantplus://offline/ref=318B263EAD7ACF332F0983D9D2D6D4C11572D27BFCD8D273DC25C272EB9C7F30C503B57A7B6606E83400F98D8673EFD23CF0066ED1B3C3CE7000D6TBU6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18B263EAD7ACF332F0983D9D2D6D4C11572D27BFCD8D273DC25C272EB9C7F30C503B57A7B6606E83400F9858673EFD23CF0066ED1B3C3CE7000D6TBU6J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318B263EAD7ACF332F0983D9D2D6D4C11572D27BFCDBDB7FD825C272EB9C7F30C503B57A7B6606E83400F8838673EFD23CF0066ED1B3C3CE7000D6TBU6J" TargetMode="External"/><Relationship Id="rId19" Type="http://schemas.openxmlformats.org/officeDocument/2006/relationships/hyperlink" Target="consultantplus://offline/ref=318B263EAD7ACF332F0983D9D2D6D4C11572D27BFFDCD07ADA25C272EB9C7F30C503B57A7B6606E83400F88C8673EFD23CF0066ED1B3C3CE7000D6TBU6J" TargetMode="External"/><Relationship Id="rId31" Type="http://schemas.openxmlformats.org/officeDocument/2006/relationships/hyperlink" Target="consultantplus://offline/ref=318B263EAD7ACF332F0983D9D2D6D4C11572D27BFCDBD273DB299F78E3C57332C20CEA6D7C2F0AE93400F884852CEAC72DA80A6ECEADC0D36C02D4B5T6U2J" TargetMode="External"/><Relationship Id="rId44" Type="http://schemas.openxmlformats.org/officeDocument/2006/relationships/hyperlink" Target="consultantplus://offline/ref=318B263EAD7ACF332F0983D9D2D6D4C11572D27BF8DFD278DB25C272EB9C7F30C503B57A7B6606E83400F88D8673EFD23CF0066ED1B3C3CE7000D6TBU6J" TargetMode="External"/><Relationship Id="rId52" Type="http://schemas.openxmlformats.org/officeDocument/2006/relationships/hyperlink" Target="consultantplus://offline/ref=318B263EAD7ACF332F0983D9D2D6D4C11572D27BFBD2D272DD25C272EB9C7F30C503B57A7B6606E83400F88D8673EFD23CF0066ED1B3C3CE7000D6TBU6J" TargetMode="External"/><Relationship Id="rId60" Type="http://schemas.openxmlformats.org/officeDocument/2006/relationships/hyperlink" Target="consultantplus://offline/ref=318B263EAD7ACF332F0983D9D2D6D4C11572D27BFADCD27CD278C87AB2907D37CA5CA27D326A07E83400F18FD976FAC364FC0671CFB0DED27202TDU5J" TargetMode="External"/><Relationship Id="rId65" Type="http://schemas.openxmlformats.org/officeDocument/2006/relationships/hyperlink" Target="consultantplus://offline/ref=318B263EAD7ACF332F099DD4C4BA88C4127E8B71F9D9D82C857A992FBC957567904CB4343E6A19E8371EFA848FT2U6J" TargetMode="External"/><Relationship Id="rId73" Type="http://schemas.openxmlformats.org/officeDocument/2006/relationships/hyperlink" Target="consultantplus://offline/ref=318B263EAD7ACF332F0983D9D2D6D4C11572D27BFBDBDB72DE25C272EB9C7F30C503B57A7B6606E83400FB8C8673EFD23CF0066ED1B3C3CE7000D6TBU6J" TargetMode="External"/><Relationship Id="rId78" Type="http://schemas.openxmlformats.org/officeDocument/2006/relationships/hyperlink" Target="consultantplus://offline/ref=318B263EAD7ACF332F0983D9D2D6D4C11572D27BFCDBD173DA2A9F78E3C57332C20CEA6D7C2F0AE93400F8858E2CEAC72DA80A6ECEADC0D36C02D4B5T6U2J" TargetMode="External"/><Relationship Id="rId81" Type="http://schemas.openxmlformats.org/officeDocument/2006/relationships/hyperlink" Target="consultantplus://offline/ref=318B263EAD7ACF332F0983D9D2D6D4C11572D27BF4DDD47ED278C87AB2907D37CA5CA27D326A07E83401FB8FD976FAC364FC0671CFB0DED27202TDU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B263EAD7ACF332F0983D9D2D6D4C11572D27BFCDBD078DB25C272EB9C7F30C503B57A7B6606E83400F8838673EFD23CF0066ED1B3C3CE7000D6TBU6J" TargetMode="External"/><Relationship Id="rId14" Type="http://schemas.openxmlformats.org/officeDocument/2006/relationships/hyperlink" Target="consultantplus://offline/ref=318B263EAD7ACF332F0983D9D2D6D4C11572D27BFCDFD57ED925C272EB9C7F30C503B57A7B6606E83400F8838673EFD23CF0066ED1B3C3CE7000D6TBU6J" TargetMode="External"/><Relationship Id="rId22" Type="http://schemas.openxmlformats.org/officeDocument/2006/relationships/hyperlink" Target="consultantplus://offline/ref=318B263EAD7ACF332F0983D9D2D6D4C11572D27BFED2D07FD825C272EB9C7F30C503B57A7B6606E83400F88C8673EFD23CF0066ED1B3C3CE7000D6TBU6J" TargetMode="External"/><Relationship Id="rId27" Type="http://schemas.openxmlformats.org/officeDocument/2006/relationships/hyperlink" Target="consultantplus://offline/ref=318B263EAD7ACF332F0983D9D2D6D4C11572D27BFBD2D179DA25C272EB9C7F30C503B57A7B6606E83400F88C8673EFD23CF0066ED1B3C3CE7000D6TBU6J" TargetMode="External"/><Relationship Id="rId30" Type="http://schemas.openxmlformats.org/officeDocument/2006/relationships/hyperlink" Target="consultantplus://offline/ref=318B263EAD7ACF332F0983D9D2D6D4C11572D27BF4D8DB73DA25C272EB9C7F30C503B57A7B6606E83400F88C8673EFD23CF0066ED1B3C3CE7000D6TBU6J" TargetMode="External"/><Relationship Id="rId35" Type="http://schemas.openxmlformats.org/officeDocument/2006/relationships/hyperlink" Target="consultantplus://offline/ref=318B263EAD7ACF332F0983D9D2D6D4C11572D27BFFDBD478DF25C272EB9C7F30C503B57A7B6606E83400F88D8673EFD23CF0066ED1B3C3CE7000D6TBU6J" TargetMode="External"/><Relationship Id="rId43" Type="http://schemas.openxmlformats.org/officeDocument/2006/relationships/hyperlink" Target="consultantplus://offline/ref=318B263EAD7ACF332F0983D9D2D6D4C11572D27BFCDBD273DB299F78E3C57332C20CEA6D7C2F0AE93400F885892CEAC72DA80A6ECEADC0D36C02D4B5T6U2J" TargetMode="External"/><Relationship Id="rId48" Type="http://schemas.openxmlformats.org/officeDocument/2006/relationships/hyperlink" Target="consultantplus://offline/ref=318B263EAD7ACF332F0983D9D2D6D4C11572D27BFBD2D179DA25C272EB9C7F30C503B57A7B6606E83400F9858673EFD23CF0066ED1B3C3CE7000D6TBU6J" TargetMode="External"/><Relationship Id="rId56" Type="http://schemas.openxmlformats.org/officeDocument/2006/relationships/hyperlink" Target="consultantplus://offline/ref=318B263EAD7ACF332F0983D9D2D6D4C11572D27BFBD2D272DD25C272EB9C7F30C503B57A7B6606E83400F9878673EFD23CF0066ED1B3C3CE7000D6TBU6J" TargetMode="External"/><Relationship Id="rId64" Type="http://schemas.openxmlformats.org/officeDocument/2006/relationships/hyperlink" Target="consultantplus://offline/ref=318B263EAD7ACF332F0983D9D2D6D4C11572D27BFCDAD37DDE2D9F78E3C57332C20CEA6D7C2F0AE93400F884852CEAC72DA80A6ECEADC0D36C02D4B5T6U2J" TargetMode="External"/><Relationship Id="rId69" Type="http://schemas.openxmlformats.org/officeDocument/2006/relationships/hyperlink" Target="consultantplus://offline/ref=318B263EAD7ACF332F0983D9D2D6D4C11572D27BFFDBD478DF25C272EB9C7F30C503B57A7B6606E83400FD8C8673EFD23CF0066ED1B3C3CE7000D6TBU6J" TargetMode="External"/><Relationship Id="rId77" Type="http://schemas.openxmlformats.org/officeDocument/2006/relationships/hyperlink" Target="consultantplus://offline/ref=318B263EAD7ACF332F0983D9D2D6D4C11572D27BFCDBD173DA2A9F78E3C57332C20CEA6D7C2F0AE93400F8858A2CEAC72DA80A6ECEADC0D36C02D4B5T6U2J" TargetMode="External"/><Relationship Id="rId8" Type="http://schemas.openxmlformats.org/officeDocument/2006/relationships/hyperlink" Target="consultantplus://offline/ref=318B263EAD7ACF332F0983D9D2D6D4C11572D27BF4DDD47ED278C87AB2907D37CA5CA27D326A07E83400FF8FD976FAC364FC0671CFB0DED27202TDU5J" TargetMode="External"/><Relationship Id="rId51" Type="http://schemas.openxmlformats.org/officeDocument/2006/relationships/hyperlink" Target="consultantplus://offline/ref=318B263EAD7ACF332F0983D9D2D6D4C11572D27BFED8D77ADB25C272EB9C7F30C503B57A7B6606E83400F9828673EFD23CF0066ED1B3C3CE7000D6TBU6J" TargetMode="External"/><Relationship Id="rId72" Type="http://schemas.openxmlformats.org/officeDocument/2006/relationships/hyperlink" Target="consultantplus://offline/ref=318B263EAD7ACF332F0983D9D2D6D4C11572D27BF8DFD278DB25C272EB9C7F30C503B57A7B6606E83400F9848673EFD23CF0066ED1B3C3CE7000D6TBU6J" TargetMode="External"/><Relationship Id="rId80" Type="http://schemas.openxmlformats.org/officeDocument/2006/relationships/hyperlink" Target="consultantplus://offline/ref=318B263EAD7ACF332F0983D9D2D6D4C11572D27BF4DDD47ED278C87AB2907D37CA5CA27D326A07E83401FB8FD976FAC364FC0671CFB0DED27202TDU5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8B263EAD7ACF332F0983D9D2D6D4C11572D27BFCD9DA7DD925C272EB9C7F30C503B57A7B6606E83400F8838673EFD23CF0066ED1B3C3CE7000D6TBU6J" TargetMode="External"/><Relationship Id="rId17" Type="http://schemas.openxmlformats.org/officeDocument/2006/relationships/hyperlink" Target="consultantplus://offline/ref=318B263EAD7ACF332F0983D9D2D6D4C11572D27BFFDBD478DF25C272EB9C7F30C503B57A7B6606E83400F88C8673EFD23CF0066ED1B3C3CE7000D6TBU6J" TargetMode="External"/><Relationship Id="rId25" Type="http://schemas.openxmlformats.org/officeDocument/2006/relationships/hyperlink" Target="consultantplus://offline/ref=318B263EAD7ACF332F0983D9D2D6D4C11572D27BFBDBDB72DE25C272EB9C7F30C503B57A7B6606E83400F88C8673EFD23CF0066ED1B3C3CE7000D6TBU6J" TargetMode="External"/><Relationship Id="rId33" Type="http://schemas.openxmlformats.org/officeDocument/2006/relationships/hyperlink" Target="consultantplus://offline/ref=318B263EAD7ACF332F0983D9D2D6D4C11572D27BFCDAD37DDE2D9F78E3C57332C20CEA6D7C2F0AE93400F884852CEAC72DA80A6ECEADC0D36C02D4B5T6U2J" TargetMode="External"/><Relationship Id="rId38" Type="http://schemas.openxmlformats.org/officeDocument/2006/relationships/hyperlink" Target="consultantplus://offline/ref=318B263EAD7ACF332F0983D9D2D6D4C11572D27BFBDBDB72DE25C272EB9C7F30C503B57A7B6606E83400F88D8673EFD23CF0066ED1B3C3CE7000D6TBU6J" TargetMode="External"/><Relationship Id="rId46" Type="http://schemas.openxmlformats.org/officeDocument/2006/relationships/hyperlink" Target="consultantplus://offline/ref=318B263EAD7ACF332F0983D9D2D6D4C11572D27BFBD2D179DA25C272EB9C7F30C503B57A7B6606E83400F9848673EFD23CF0066ED1B3C3CE7000D6TBU6J" TargetMode="External"/><Relationship Id="rId59" Type="http://schemas.openxmlformats.org/officeDocument/2006/relationships/hyperlink" Target="consultantplus://offline/ref=318B263EAD7ACF332F099DD4C4BA88C4107D8470FDD2D82C857A992FBC957567824CEC383F6B07EF320BACD5C972B39768E3076CD1B1C0D2T7U3J" TargetMode="External"/><Relationship Id="rId67" Type="http://schemas.openxmlformats.org/officeDocument/2006/relationships/hyperlink" Target="consultantplus://offline/ref=318B263EAD7ACF332F0983D9D2D6D4C11572D27BFBD2D179DA25C272EB9C7F30C503B57A7B6606E83400F9868673EFD23CF0066ED1B3C3CE7000D6TBU6J" TargetMode="External"/><Relationship Id="rId20" Type="http://schemas.openxmlformats.org/officeDocument/2006/relationships/hyperlink" Target="consultantplus://offline/ref=318B263EAD7ACF332F0983D9D2D6D4C11572D27BFED9D678DA25C272EB9C7F30C503B57A7B6606E83400F88C8673EFD23CF0066ED1B3C3CE7000D6TBU6J" TargetMode="External"/><Relationship Id="rId41" Type="http://schemas.openxmlformats.org/officeDocument/2006/relationships/hyperlink" Target="consultantplus://offline/ref=318B263EAD7ACF332F0983D9D2D6D4C11572D27BFCDBD273DB299F78E3C57332C20CEA6D7C2F0AE93400F8858E2CEAC72DA80A6ECEADC0D36C02D4B5T6U2J" TargetMode="External"/><Relationship Id="rId54" Type="http://schemas.openxmlformats.org/officeDocument/2006/relationships/hyperlink" Target="consultantplus://offline/ref=318B263EAD7ACF332F0983D9D2D6D4C11572D27BFBD2D272DD25C272EB9C7F30C503B57A7B6606E83400F9858673EFD23CF0066ED1B3C3CE7000D6TBU6J" TargetMode="External"/><Relationship Id="rId62" Type="http://schemas.openxmlformats.org/officeDocument/2006/relationships/hyperlink" Target="consultantplus://offline/ref=318B263EAD7ACF332F0983D9D2D6D4C11572D27BFBDBDB72DE25C272EB9C7F30C503B57A7B6606E83400FB838673EFD23CF0066ED1B3C3CE7000D6TBU6J" TargetMode="External"/><Relationship Id="rId70" Type="http://schemas.openxmlformats.org/officeDocument/2006/relationships/hyperlink" Target="consultantplus://offline/ref=318B263EAD7ACF332F0983D9D2D6D4C11572D27BFCDBD173DA2A9F78E3C57332C20CEA6D7C2F0AE93400F884842CEAC72DA80A6ECEADC0D36C02D4B5T6U2J" TargetMode="External"/><Relationship Id="rId75" Type="http://schemas.openxmlformats.org/officeDocument/2006/relationships/hyperlink" Target="consultantplus://offline/ref=318B263EAD7ACF332F0983D9D2D6D4C11572D27BF4D8DB73DA25C272EB9C7F30C503B57A7B6606E83400F9848673EFD23CF0066ED1B3C3CE7000D6TBU6J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B263EAD7ACF332F0983D9D2D6D4C11572D27BFADCD27CD278C87AB2907D37CA5CA27D326A07E83400FF8FD976FAC364FC0671CFB0DED27202TDU5J" TargetMode="External"/><Relationship Id="rId15" Type="http://schemas.openxmlformats.org/officeDocument/2006/relationships/hyperlink" Target="consultantplus://offline/ref=318B263EAD7ACF332F0983D9D2D6D4C11572D27BFCDED572DB25C272EB9C7F30C503B57A7B6606E83400F8838673EFD23CF0066ED1B3C3CE7000D6TBU6J" TargetMode="External"/><Relationship Id="rId23" Type="http://schemas.openxmlformats.org/officeDocument/2006/relationships/hyperlink" Target="consultantplus://offline/ref=318B263EAD7ACF332F0983D9D2D6D4C11572D27BF9D9D17EDB25C272EB9C7F30C503B57A7B6606E83400F88C8673EFD23CF0066ED1B3C3CE7000D6TBU6J" TargetMode="External"/><Relationship Id="rId28" Type="http://schemas.openxmlformats.org/officeDocument/2006/relationships/hyperlink" Target="consultantplus://offline/ref=318B263EAD7ACF332F0983D9D2D6D4C11572D27BFBD2D272DD25C272EB9C7F30C503B57A7B6606E83400F88C8673EFD23CF0066ED1B3C3CE7000D6TBU6J" TargetMode="External"/><Relationship Id="rId36" Type="http://schemas.openxmlformats.org/officeDocument/2006/relationships/hyperlink" Target="consultantplus://offline/ref=318B263EAD7ACF332F0983D9D2D6D4C11572D27BFCDBD273DB299F78E3C57332C20CEA6D7C2F0AE93400F884842CEAC72DA80A6ECEADC0D36C02D4B5T6U2J" TargetMode="External"/><Relationship Id="rId49" Type="http://schemas.openxmlformats.org/officeDocument/2006/relationships/hyperlink" Target="consultantplus://offline/ref=318B263EAD7ACF332F0983D9D2D6D4C11572D27BF4DADA7CD025C272EB9C7F30C503B57A7B6606E83400F9858673EFD23CF0066ED1B3C3CE7000D6TBU6J" TargetMode="External"/><Relationship Id="rId57" Type="http://schemas.openxmlformats.org/officeDocument/2006/relationships/hyperlink" Target="consultantplus://offline/ref=318B263EAD7ACF332F0983D9D2D6D4C11572D27BFADCD27CD278C87AB2907D37CA5CA27D326A07E83400FF8FD976FAC364FC0671CFB0DED27202TD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2021-03-11T09:20:00Z</dcterms:created>
  <dcterms:modified xsi:type="dcterms:W3CDTF">2021-03-11T09:21:00Z</dcterms:modified>
</cp:coreProperties>
</file>