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D5" w:rsidRDefault="00CD1A8B">
      <w:pPr>
        <w:spacing w:before="120" w:after="0" w:line="276" w:lineRule="auto"/>
        <w:ind w:right="-1"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66750" cy="857250"/>
            <wp:effectExtent l="0" t="0" r="0" b="0"/>
            <wp:wrapTight wrapText="bothSides">
              <wp:wrapPolygon edited="0">
                <wp:start x="-122" y="0"/>
                <wp:lineTo x="-122" y="21097"/>
                <wp:lineTo x="20862" y="21097"/>
                <wp:lineTo x="20862" y="0"/>
                <wp:lineTo x="-1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16" r="-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FD5" w:rsidRDefault="007D0FD5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D0FD5" w:rsidRDefault="007D0FD5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0FD5" w:rsidRDefault="007D0FD5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0FD5" w:rsidRDefault="00CD1A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Кемеровская область</w:t>
      </w:r>
    </w:p>
    <w:p w:rsidR="007D0FD5" w:rsidRDefault="00CD1A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Новокузнецкий муниципальный район</w:t>
      </w:r>
    </w:p>
    <w:p w:rsidR="007D0FD5" w:rsidRDefault="00CD1A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7D0FD5" w:rsidRDefault="007D0FD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pacing w:val="100"/>
          <w:sz w:val="32"/>
          <w:szCs w:val="32"/>
          <w:lang w:eastAsia="ru-RU"/>
        </w:rPr>
      </w:pPr>
    </w:p>
    <w:p w:rsidR="007D0FD5" w:rsidRDefault="00CD1A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ПОСТАНОВЛЕНИЕ</w:t>
      </w:r>
    </w:p>
    <w:p w:rsidR="007D0FD5" w:rsidRDefault="007D0FD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0FD5" w:rsidRDefault="00CD1A8B">
      <w:pPr>
        <w:tabs>
          <w:tab w:val="left" w:pos="963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от 03.04.2018  № 38</w:t>
      </w:r>
    </w:p>
    <w:p w:rsidR="007D0FD5" w:rsidRDefault="00CD1A8B">
      <w:pPr>
        <w:tabs>
          <w:tab w:val="left" w:pos="963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г. Новокузнецк</w:t>
      </w:r>
    </w:p>
    <w:p w:rsidR="007D0FD5" w:rsidRDefault="007D0FD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0FD5" w:rsidRDefault="00CD1A8B">
      <w:pPr>
        <w:widowControl w:val="0"/>
        <w:tabs>
          <w:tab w:val="left" w:pos="9222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32"/>
          <w:szCs w:val="32"/>
          <w:lang w:eastAsia="ru-RU"/>
        </w:rPr>
        <w:t>28.11.2017 № 228 «Об утверждении Административного регламента</w:t>
      </w:r>
    </w:p>
    <w:p w:rsidR="007D0FD5" w:rsidRDefault="00CD1A8B">
      <w:pPr>
        <w:widowControl w:val="0"/>
        <w:tabs>
          <w:tab w:val="left" w:pos="9222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предоставления муниципальной услуги</w:t>
      </w:r>
    </w:p>
    <w:p w:rsidR="007D0FD5" w:rsidRDefault="00CD1A8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«Предоставление разрешения на ввод объекта в эксплуатацию»</w:t>
      </w:r>
    </w:p>
    <w:p w:rsidR="007D0FD5" w:rsidRDefault="007D0FD5">
      <w:pPr>
        <w:widowControl w:val="0"/>
        <w:autoSpaceDE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D0FD5" w:rsidRDefault="00CD1A8B">
      <w:pPr>
        <w:widowControl w:val="0"/>
        <w:autoSpaceDE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27.07.2010 № 210-ФЗ «Об организации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услуг»в части закрепления возможности предоставления в многофункцион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постановлением администрации Новокузнецкого муниципального района от 21.02</w:t>
      </w:r>
      <w:r>
        <w:rPr>
          <w:rFonts w:ascii="Times New Roman" w:hAnsi="Times New Roman" w:cs="Times New Roman"/>
          <w:sz w:val="24"/>
          <w:szCs w:val="24"/>
          <w:lang w:eastAsia="ru-RU"/>
        </w:rPr>
        <w:t>.2018 № 26 «Об утверждении Порядка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</w:r>
    </w:p>
    <w:p w:rsidR="007D0FD5" w:rsidRDefault="00CD1A8B">
      <w:pPr>
        <w:pStyle w:val="aff0"/>
        <w:numPr>
          <w:ilvl w:val="0"/>
          <w:numId w:val="2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 в постановление администрации Новокузнецкого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28.11.2017 № 228 «Об утверждении Административного регламента предоставления муниципальной услуги «Предоставление разрешения на ввод объекта в эксплуатацию» (далее - Постановление) следующие изменения:</w:t>
      </w:r>
    </w:p>
    <w:p w:rsidR="007D0FD5" w:rsidRDefault="00CD1A8B">
      <w:pPr>
        <w:pStyle w:val="aff0"/>
        <w:numPr>
          <w:ilvl w:val="1"/>
          <w:numId w:val="2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Подпункт 2.6.1.4. пункта 2.6. раздела 2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ложения к Постановлениюизложить в следующей редакции:</w:t>
      </w:r>
    </w:p>
    <w:p w:rsidR="007D0FD5" w:rsidRDefault="00CD1A8B">
      <w:pPr>
        <w:pStyle w:val="aff0"/>
        <w:suppressAutoHyphens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«2.6.1.4.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0FD5" w:rsidRDefault="00CD1A8B">
      <w:pPr>
        <w:pStyle w:val="aff0"/>
        <w:numPr>
          <w:ilvl w:val="1"/>
          <w:numId w:val="2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Подпункт 2.6.1.6. пункта 2.6. раздела 2 прил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ожения к Постановлениюизложить в следующей редакции:</w:t>
      </w:r>
    </w:p>
    <w:p w:rsidR="007D0FD5" w:rsidRDefault="00CD1A8B">
      <w:pPr>
        <w:pStyle w:val="aff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«2.6.1.6.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и требованиям оснащенности объекта капитального строительства приборами учета используемых энергетических ресурсов,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подписанный лицом, осуществляющим строительство (лицом, осуществляющим  строительство, и  застройщиком или  техническим заказчиком в слу</w:t>
      </w:r>
      <w:r>
        <w:rPr>
          <w:rFonts w:ascii="Times New Roman" w:hAnsi="Times New Roman" w:cs="Times New Roman"/>
          <w:sz w:val="24"/>
          <w:szCs w:val="24"/>
        </w:rPr>
        <w:t>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</w:t>
      </w:r>
      <w:r>
        <w:rPr>
          <w:rFonts w:ascii="Times New Roman" w:hAnsi="Times New Roman" w:cs="Times New Roman"/>
          <w:sz w:val="24"/>
          <w:szCs w:val="24"/>
        </w:rPr>
        <w:t>ительства, реконструкции объектов индивидуального жилищного строительства;».</w:t>
      </w:r>
    </w:p>
    <w:p w:rsidR="007D0FD5" w:rsidRDefault="00CD1A8B">
      <w:pPr>
        <w:pStyle w:val="aff0"/>
        <w:numPr>
          <w:ilvl w:val="1"/>
          <w:numId w:val="2"/>
        </w:numPr>
        <w:suppressAutoHyphens/>
        <w:spacing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Подпункт 2.6.1.8. пункта 2.6. раздела 2 приложения к Постановлениюизложить в следующей редакции:</w:t>
      </w:r>
    </w:p>
    <w:p w:rsidR="007D0FD5" w:rsidRDefault="00CD1A8B">
      <w:pPr>
        <w:pStyle w:val="aff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«2.6.1.8.</w:t>
      </w:r>
      <w:r>
        <w:rPr>
          <w:rFonts w:ascii="Times New Roman" w:hAnsi="Times New Roman" w:cs="Times New Roman"/>
          <w:sz w:val="24"/>
          <w:szCs w:val="24"/>
        </w:rPr>
        <w:tab/>
        <w:t>схема, отображающая расположение построенного, реконструированного объек</w:t>
      </w:r>
      <w:r>
        <w:rPr>
          <w:rFonts w:ascii="Times New Roman" w:hAnsi="Times New Roman" w:cs="Times New Roman"/>
          <w:sz w:val="24"/>
          <w:szCs w:val="24"/>
        </w:rPr>
        <w:t>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</w:t>
      </w:r>
      <w:r>
        <w:rPr>
          <w:rFonts w:ascii="Times New Roman" w:hAnsi="Times New Roman" w:cs="Times New Roman"/>
          <w:sz w:val="24"/>
          <w:szCs w:val="24"/>
        </w:rPr>
        <w:t>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объекта;».</w:t>
      </w:r>
    </w:p>
    <w:p w:rsidR="007D0FD5" w:rsidRDefault="00CD1A8B">
      <w:pPr>
        <w:pStyle w:val="aff0"/>
        <w:numPr>
          <w:ilvl w:val="1"/>
          <w:numId w:val="2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Подпункт 2.6.1.9. пункта 2.6. раздела 2 приложения к Постанов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лениюизложить в следующей редакции:</w:t>
      </w:r>
    </w:p>
    <w:p w:rsidR="007D0FD5" w:rsidRDefault="00CD1A8B">
      <w:pPr>
        <w:pStyle w:val="aff0"/>
        <w:suppressAutoHyphens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«2.6.1.9.</w:t>
      </w:r>
      <w:r>
        <w:rPr>
          <w:rFonts w:ascii="Times New Roman" w:hAnsi="Times New Roman" w:cs="Times New Roman"/>
          <w:sz w:val="24"/>
          <w:szCs w:val="24"/>
        </w:rP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экологического надзора в случаях, предусмотренных частью 7 статьи 54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D5" w:rsidRDefault="00CD1A8B">
      <w:pPr>
        <w:pStyle w:val="aff0"/>
        <w:numPr>
          <w:ilvl w:val="1"/>
          <w:numId w:val="2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пункт 2.6. раздела 2 приложения к Постановлению добавить подпункт 2.6.1.13. в следующей редакции:</w:t>
      </w:r>
    </w:p>
    <w:p w:rsidR="007D0FD5" w:rsidRDefault="00CD1A8B">
      <w:pPr>
        <w:pStyle w:val="aff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</w:t>
      </w:r>
      <w:r>
        <w:rPr>
          <w:rFonts w:ascii="Times New Roman" w:hAnsi="Times New Roman" w:cs="Times New Roman"/>
          <w:sz w:val="24"/>
          <w:szCs w:val="24"/>
        </w:rPr>
        <w:t>1.13.</w:t>
      </w:r>
      <w:r>
        <w:rPr>
          <w:rFonts w:ascii="Times New Roman" w:hAnsi="Times New Roman" w:cs="Times New Roman"/>
          <w:sz w:val="24"/>
          <w:szCs w:val="24"/>
        </w:rPr>
        <w:tab/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</w:t>
      </w:r>
      <w:r>
        <w:rPr>
          <w:rFonts w:ascii="Times New Roman" w:hAnsi="Times New Roman" w:cs="Times New Roman"/>
          <w:sz w:val="24"/>
          <w:szCs w:val="24"/>
        </w:rPr>
        <w:t>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</w:t>
      </w:r>
      <w:r>
        <w:rPr>
          <w:rFonts w:ascii="Times New Roman" w:hAnsi="Times New Roman" w:cs="Times New Roman"/>
          <w:sz w:val="24"/>
          <w:szCs w:val="24"/>
        </w:rPr>
        <w:t>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</w:t>
      </w:r>
      <w:r>
        <w:rPr>
          <w:rFonts w:ascii="Times New Roman" w:hAnsi="Times New Roman" w:cs="Times New Roman"/>
          <w:sz w:val="24"/>
          <w:szCs w:val="24"/>
        </w:rPr>
        <w:t>та капитального строительства и в результате указанной реконструкции местоположение границ ранее установленной охранной зоны не изменилось».</w:t>
      </w:r>
    </w:p>
    <w:p w:rsidR="007D0FD5" w:rsidRDefault="00CD1A8B">
      <w:pPr>
        <w:pStyle w:val="aff0"/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1.6. Раздел 5 приложения к Постановлению изложить в следующей редакции:</w:t>
      </w:r>
    </w:p>
    <w:p w:rsidR="007D0FD5" w:rsidRDefault="00CD1A8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«5. Досудебное (внесудебное) обжалование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явителем решений и действий (бездействия) органа, предоставляющего муниципальную услугу,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 или их работников.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7D0FD5" w:rsidRDefault="00CD1A8B">
      <w:pPr>
        <w:pStyle w:val="aff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нарушение срока регистрации запроса о предоставлении муниципальной услуги, в том числе комплексного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запроса, при котором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7D0FD5" w:rsidRDefault="00CD1A8B">
      <w:pPr>
        <w:pStyle w:val="aff0"/>
        <w:numPr>
          <w:ilvl w:val="2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>
        <w:rPr>
          <w:rFonts w:ascii="Times New Roman" w:hAnsi="Times New Roman" w:cs="Times New Roman"/>
          <w:sz w:val="24"/>
          <w:szCs w:val="24"/>
          <w:lang w:eastAsia="ru-RU"/>
        </w:rPr>
        <w:t>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D0FD5" w:rsidRDefault="00CD1A8B">
      <w:pPr>
        <w:pStyle w:val="aff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предусмотренными нормативн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 для предоставления муниципальной услуги;</w:t>
      </w:r>
    </w:p>
    <w:p w:rsidR="007D0FD5" w:rsidRDefault="00CD1A8B">
      <w:pPr>
        <w:pStyle w:val="aff0"/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«Новокузнецкий муниципальный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пальной услуги, у заявителя;</w:t>
      </w:r>
    </w:p>
    <w:p w:rsidR="007D0FD5" w:rsidRDefault="00CD1A8B">
      <w:pPr>
        <w:pStyle w:val="aff0"/>
        <w:widowControl w:val="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Кемеровской области, нормативными правовыми актами муниципального образования «Новокузнецкий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</w:t>
      </w:r>
      <w:r>
        <w:rPr>
          <w:rFonts w:ascii="Times New Roman" w:hAnsi="Times New Roman" w:cs="Times New Roman"/>
          <w:sz w:val="24"/>
          <w:szCs w:val="24"/>
          <w:lang w:eastAsia="ru-RU"/>
        </w:rPr>
        <w:t>льтатом предоставления муниципальной услуги;</w:t>
      </w:r>
    </w:p>
    <w:p w:rsidR="007D0FD5" w:rsidRDefault="00CD1A8B">
      <w:pPr>
        <w:pStyle w:val="aff0"/>
        <w:widowControl w:val="0"/>
        <w:numPr>
          <w:ilvl w:val="2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нормативными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овыми актами муниципального образования «Новокузнецкий муниципальный район»;</w:t>
      </w:r>
    </w:p>
    <w:p w:rsidR="007D0FD5" w:rsidRDefault="00CD1A8B">
      <w:pPr>
        <w:pStyle w:val="aff0"/>
        <w:widowControl w:val="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ентра,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или их работников в исправлении допущенных ими опечато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центра, работника многофункционального центра возможно в случае, если на многофункциональный центр,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услуги;</w:t>
      </w:r>
    </w:p>
    <w:p w:rsidR="007D0FD5" w:rsidRDefault="00CD1A8B">
      <w:pPr>
        <w:pStyle w:val="aff0"/>
        <w:widowControl w:val="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0FD5" w:rsidRDefault="00CD1A8B">
      <w:pPr>
        <w:pStyle w:val="aff0"/>
        <w:widowControl w:val="0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многофункционального центра), а также в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окна». Жалобы на решения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</w:t>
      </w:r>
      <w:r>
        <w:rPr>
          <w:rFonts w:ascii="Times New Roman" w:hAnsi="Times New Roman" w:cs="Times New Roman"/>
          <w:sz w:val="24"/>
          <w:szCs w:val="24"/>
          <w:lang w:eastAsia="ru-RU"/>
        </w:rPr>
        <w:t>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многофункциональный центр в целях повышения территориальной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доступности муниципальных услуг, предоставляемых по принципу «одного окна».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  <w:lang w:eastAsia="ru-RU"/>
        </w:rPr>
        <w:t>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0FD5" w:rsidRDefault="00CD1A8B">
      <w:pPr>
        <w:pStyle w:val="aff0"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«Интернет», официального сайта многофункционального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D0FD5" w:rsidRDefault="00CD1A8B">
      <w:pPr>
        <w:pStyle w:val="aff0"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(бездействие)иных организаций, которые вправе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а также их работников может быть направлена по почте, с использованием информационно-телекоммун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служащих, для отношений, связанных с подачей и рассмотрением указанных жалоб, нормы пункта 5.1. не применяются.</w:t>
      </w:r>
    </w:p>
    <w:p w:rsidR="007D0FD5" w:rsidRDefault="00CD1A8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настоящимразделом, либо в порядке, установленном антимонопольным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Федерации, в антимонопольный орган. 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бездействие) многофункционального центра,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«Новокузнецкий муниципальный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5.6.Жалоба должна содержать:</w:t>
      </w:r>
    </w:p>
    <w:p w:rsidR="007D0FD5" w:rsidRDefault="00CD1A8B">
      <w:pPr>
        <w:pStyle w:val="aff0"/>
        <w:numPr>
          <w:ilvl w:val="2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иных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из руководителей и (или) работников, решения и действия (бездейст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вие) которых обжалуются;</w:t>
      </w:r>
    </w:p>
    <w:p w:rsidR="007D0FD5" w:rsidRDefault="00CD1A8B">
      <w:pPr>
        <w:pStyle w:val="aff0"/>
        <w:numPr>
          <w:ilvl w:val="2"/>
          <w:numId w:val="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>) электронной почты (при наличии) и почтовый адрес, по которым должен быть направлен ответ заявителю;</w:t>
      </w:r>
    </w:p>
    <w:p w:rsidR="007D0FD5" w:rsidRDefault="00CD1A8B">
      <w:pPr>
        <w:pStyle w:val="aff0"/>
        <w:numPr>
          <w:ilvl w:val="2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пальную услугу, либо муниципального служащего, многофункционального центра, работника многофункционального центра,иных организаций, которые вправе привлекать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уполномоченный многофункциональный центр в целях повышения территориальной доступности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услуг, предоставляемых по принципу «одного окна»;</w:t>
      </w:r>
    </w:p>
    <w:p w:rsidR="007D0FD5" w:rsidRDefault="00CD1A8B">
      <w:pPr>
        <w:pStyle w:val="aff0"/>
        <w:numPr>
          <w:ilvl w:val="2"/>
          <w:numId w:val="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</w:t>
      </w:r>
      <w:r>
        <w:rPr>
          <w:rFonts w:ascii="Times New Roman" w:hAnsi="Times New Roman" w:cs="Times New Roman"/>
          <w:sz w:val="24"/>
          <w:szCs w:val="24"/>
          <w:lang w:eastAsia="ru-RU"/>
        </w:rPr>
        <w:t>бо муниципального служащего, многофункционального центра, работника многофункционального центра,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авляемых по принципу «одного окна». Заявителем могут быть представлены документы (при наличии), подтверждающие доводы заявителя, либо их копии. </w:t>
      </w:r>
    </w:p>
    <w:p w:rsidR="007D0FD5" w:rsidRDefault="00CD1A8B">
      <w:pPr>
        <w:pStyle w:val="aff0"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5.7. Жалоба, поступившая в орган, предоставляющий муниципальную услугу, многофункциональный центр, учредителю м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ногофункционального центра,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подлежит рассмотрению в течение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7D0FD5" w:rsidRDefault="00CD1A8B">
      <w:pPr>
        <w:pStyle w:val="aff0"/>
        <w:numPr>
          <w:ilvl w:val="0"/>
          <w:numId w:val="4"/>
        </w:numPr>
        <w:tabs>
          <w:tab w:val="left" w:pos="78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у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документах,возврата заявителю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, взимание которых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район»;</w:t>
      </w:r>
    </w:p>
    <w:p w:rsidR="007D0FD5" w:rsidRDefault="00CD1A8B">
      <w:pPr>
        <w:pStyle w:val="aff0"/>
        <w:numPr>
          <w:ilvl w:val="0"/>
          <w:numId w:val="4"/>
        </w:numPr>
        <w:tabs>
          <w:tab w:val="left" w:pos="786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отказывается.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указанного в пункте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FD5" w:rsidRDefault="00CD1A8B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5.10. В случае у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прокуратуры».</w:t>
      </w:r>
    </w:p>
    <w:p w:rsidR="007D0FD5" w:rsidRDefault="00CD1A8B">
      <w:pPr>
        <w:pStyle w:val="aff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Новокузнецкой районной газете «Сельские вести» и разместить на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7D0FD5" w:rsidRDefault="00CD1A8B">
      <w:pPr>
        <w:pStyle w:val="aff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стоящее постановление вступает в силу после его официального опубликования, но не ранее 30.03.2018.</w:t>
      </w:r>
    </w:p>
    <w:p w:rsidR="007D0FD5" w:rsidRDefault="00CD1A8B">
      <w:pPr>
        <w:pStyle w:val="aff0"/>
        <w:widowControl w:val="0"/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 В. Криулькина.</w:t>
      </w:r>
    </w:p>
    <w:p w:rsidR="007D0FD5" w:rsidRDefault="007D0FD5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0FD5" w:rsidRDefault="007D0FD5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0FD5" w:rsidRDefault="007D0FD5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0FD5" w:rsidRDefault="00CD1A8B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Новокузнецкого муниципального района                                              Д. Г. Беспалов</w:t>
      </w:r>
    </w:p>
    <w:p w:rsidR="007D0FD5" w:rsidRDefault="007D0FD5">
      <w:pPr>
        <w:widowControl w:val="0"/>
        <w:tabs>
          <w:tab w:val="left" w:pos="581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90"/>
      <w:bookmarkStart w:id="2" w:name="OLE_LINK89"/>
      <w:bookmarkEnd w:id="1"/>
      <w:bookmarkEnd w:id="2"/>
    </w:p>
    <w:sectPr w:rsidR="007D0F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134" w:left="1418" w:header="720" w:footer="91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8B" w:rsidRDefault="00CD1A8B">
      <w:pPr>
        <w:spacing w:after="0" w:line="240" w:lineRule="auto"/>
      </w:pPr>
      <w:r>
        <w:separator/>
      </w:r>
    </w:p>
  </w:endnote>
  <w:endnote w:type="continuationSeparator" w:id="0">
    <w:p w:rsidR="00CD1A8B" w:rsidRDefault="00C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D5" w:rsidRDefault="007D0FD5">
    <w:pPr>
      <w:pStyle w:val="af8"/>
      <w:jc w:val="center"/>
    </w:pPr>
  </w:p>
  <w:p w:rsidR="007D0FD5" w:rsidRDefault="007D0FD5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D5" w:rsidRDefault="007D0FD5">
    <w:pPr>
      <w:pStyle w:val="af8"/>
      <w:jc w:val="center"/>
    </w:pPr>
  </w:p>
  <w:p w:rsidR="007D0FD5" w:rsidRDefault="007D0FD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8B" w:rsidRDefault="00CD1A8B">
      <w:pPr>
        <w:spacing w:after="0" w:line="240" w:lineRule="auto"/>
      </w:pPr>
      <w:r>
        <w:separator/>
      </w:r>
    </w:p>
  </w:footnote>
  <w:footnote w:type="continuationSeparator" w:id="0">
    <w:p w:rsidR="00CD1A8B" w:rsidRDefault="00CD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D5" w:rsidRDefault="00CD1A8B">
    <w:pPr>
      <w:pStyle w:val="af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E247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D0FD5" w:rsidRDefault="007D0FD5">
    <w:pPr>
      <w:pStyle w:val="af7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D5" w:rsidRDefault="007D0FD5">
    <w:pPr>
      <w:pStyle w:val="af7"/>
      <w:jc w:val="center"/>
    </w:pPr>
  </w:p>
  <w:p w:rsidR="007D0FD5" w:rsidRDefault="007D0FD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EA2"/>
    <w:multiLevelType w:val="multilevel"/>
    <w:tmpl w:val="D8361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F0206"/>
    <w:multiLevelType w:val="multilevel"/>
    <w:tmpl w:val="8E42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CD0ECE"/>
    <w:multiLevelType w:val="multilevel"/>
    <w:tmpl w:val="325C6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szCs w:val="24"/>
        <w:vertAlign w:val="baseline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B02A0"/>
    <w:multiLevelType w:val="multilevel"/>
    <w:tmpl w:val="A76C45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F75146"/>
    <w:multiLevelType w:val="multilevel"/>
    <w:tmpl w:val="041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DF1250"/>
    <w:multiLevelType w:val="multilevel"/>
    <w:tmpl w:val="5D7270F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5"/>
    <w:rsid w:val="007D0FD5"/>
    <w:rsid w:val="00CD1A8B"/>
    <w:rsid w:val="00D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98DF-273C-41B9-A46E-51E3DB6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position w:val="0"/>
      <w:sz w:val="24"/>
      <w:vertAlign w:val="baseline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ascii="Symbol" w:hAnsi="Symbol" w:cs="Symbol"/>
      <w:position w:val="0"/>
      <w:sz w:val="24"/>
      <w:vertAlign w:val="baseline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  <w:rPr>
      <w:rFonts w:ascii="Symbol" w:hAnsi="Symbol" w:cs="Symbol"/>
      <w:position w:val="0"/>
      <w:sz w:val="24"/>
      <w:szCs w:val="24"/>
      <w:vertAlign w:val="baseline"/>
      <w:lang w:eastAsia="ru-RU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position w:val="0"/>
      <w:sz w:val="24"/>
      <w:vertAlign w:val="baseline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10">
    <w:name w:val="Заголовок 1 Знак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qFormat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a5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2"/>
  </w:style>
  <w:style w:type="character" w:customStyle="1" w:styleId="a7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qFormat/>
    <w:rPr>
      <w:rFonts w:ascii="Times New Roman" w:hAnsi="Times New Roman" w:cs="Times New Roman"/>
      <w:sz w:val="20"/>
      <w:szCs w:val="20"/>
    </w:rPr>
  </w:style>
  <w:style w:type="character" w:customStyle="1" w:styleId="aa">
    <w:name w:val="Схема документа Знак"/>
    <w:qFormat/>
    <w:rPr>
      <w:rFonts w:ascii="Tahoma" w:hAnsi="Tahoma" w:cs="Tahoma"/>
      <w:sz w:val="20"/>
      <w:szCs w:val="20"/>
      <w:shd w:val="clear" w:color="auto" w:fill="000080"/>
    </w:rPr>
  </w:style>
  <w:style w:type="character" w:customStyle="1" w:styleId="2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c">
    <w:name w:val="Название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31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sz w:val="18"/>
      <w:szCs w:val="18"/>
    </w:rPr>
  </w:style>
  <w:style w:type="character" w:customStyle="1" w:styleId="ad">
    <w:name w:val="Гипертекстовая ссылка"/>
    <w:qFormat/>
    <w:rPr>
      <w:b/>
      <w:bCs/>
      <w:color w:val="000000"/>
    </w:rPr>
  </w:style>
  <w:style w:type="character" w:customStyle="1" w:styleId="apple-converted-space">
    <w:name w:val="apple-converted-space"/>
    <w:qFormat/>
  </w:style>
  <w:style w:type="character" w:customStyle="1" w:styleId="ae">
    <w:name w:val="Цветовое выделение"/>
    <w:qFormat/>
    <w:rPr>
      <w:b/>
      <w:bCs/>
      <w:color w:val="000000"/>
    </w:rPr>
  </w:style>
  <w:style w:type="character" w:customStyle="1" w:styleId="af">
    <w:name w:val="Без интервала Знак"/>
    <w:qFormat/>
    <w:rPr>
      <w:rFonts w:ascii="Calibri" w:hAnsi="Calibri" w:cs="Calibri"/>
      <w:i/>
      <w:iCs/>
      <w:sz w:val="20"/>
      <w:szCs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af0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1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match">
    <w:name w:val="match"/>
    <w:basedOn w:val="a2"/>
    <w:qFormat/>
  </w:style>
  <w:style w:type="character" w:styleId="af2">
    <w:name w:val="Placeholder Text"/>
    <w:qFormat/>
    <w:rPr>
      <w:color w:val="80808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41">
    <w:name w:val="Основной шрифт абзаца4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11">
    <w:name w:val="Основной шрифт абзаца1"/>
    <w:qFormat/>
  </w:style>
  <w:style w:type="character" w:customStyle="1" w:styleId="af3">
    <w:name w:val="Символ нумерации"/>
    <w:qFormat/>
  </w:style>
  <w:style w:type="character" w:customStyle="1" w:styleId="af4">
    <w:name w:val="Маркеры списка"/>
    <w:qFormat/>
    <w:rPr>
      <w:rFonts w:ascii="OpenSymbol" w:eastAsia="Times New Roman" w:hAnsi="OpenSymbol" w:cs="OpenSymbol"/>
    </w:rPr>
  </w:style>
  <w:style w:type="character" w:customStyle="1" w:styleId="12">
    <w:name w:val="Текст сноски Знак1"/>
    <w:qFormat/>
    <w:rPr>
      <w:sz w:val="20"/>
      <w:szCs w:val="20"/>
    </w:rPr>
  </w:style>
  <w:style w:type="character" w:customStyle="1" w:styleId="13">
    <w:name w:val="Текст концевой сноски Знак1"/>
    <w:qFormat/>
    <w:rPr>
      <w:sz w:val="20"/>
      <w:szCs w:val="20"/>
    </w:rPr>
  </w:style>
  <w:style w:type="paragraph" w:customStyle="1" w:styleId="Heading">
    <w:name w:val="Heading"/>
    <w:basedOn w:val="a"/>
    <w:next w:val="a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1"/>
    <w:pPr>
      <w:suppressAutoHyphens/>
      <w:spacing w:after="120"/>
      <w:jc w:val="left"/>
    </w:pPr>
  </w:style>
  <w:style w:type="paragraph" w:styleId="af6">
    <w:name w:val="caption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Title"/>
    <w:basedOn w:val="a"/>
    <w:next w:val="a1"/>
    <w:qFormat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</w:rPr>
  </w:style>
  <w:style w:type="paragraph" w:styleId="af7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Стиль4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qFormat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qFormat/>
    <w:pPr>
      <w:widowControl w:val="0"/>
      <w:autoSpaceDE w:val="0"/>
      <w:ind w:left="4840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styleId="afa">
    <w:name w:val="Document Map"/>
    <w:basedOn w:val="a"/>
    <w:qFormat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5">
    <w:name w:val="Body Text 2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???????"/>
    <w:qFormat/>
    <w:rPr>
      <w:rFonts w:eastAsia="Times New Roman" w:cs="Times New Roman"/>
      <w:sz w:val="20"/>
      <w:szCs w:val="20"/>
      <w:lang w:val="ru-RU" w:bidi="ar-SA"/>
    </w:rPr>
  </w:style>
  <w:style w:type="paragraph" w:styleId="afc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xl22">
    <w:name w:val="xl2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qFormat/>
    <w:pPr>
      <w:spacing w:after="0" w:line="240" w:lineRule="auto"/>
    </w:pPr>
    <w:rPr>
      <w:rFonts w:ascii="Verdana" w:eastAsia="Times New Roman" w:hAnsi="Verdana" w:cs="Verdana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afe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412pt">
    <w:name w:val="Заголовок 4+12 pt"/>
    <w:basedOn w:val="a"/>
    <w:qFormat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f">
    <w:name w:val="No Spacing"/>
    <w:basedOn w:val="a"/>
    <w:qFormat/>
    <w:pPr>
      <w:spacing w:after="0" w:line="240" w:lineRule="auto"/>
    </w:pPr>
    <w:rPr>
      <w:rFonts w:eastAsia="Times New Roman"/>
      <w:i/>
      <w:iCs/>
      <w:sz w:val="20"/>
      <w:szCs w:val="20"/>
    </w:rPr>
  </w:style>
  <w:style w:type="paragraph" w:customStyle="1" w:styleId="ConsPlusDocList">
    <w:name w:val="ConsPlusDocList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DocList2">
    <w:name w:val="ConsPlusDocList2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14">
    <w:name w:val="Абзац списка1"/>
    <w:basedOn w:val="a"/>
    <w:next w:val="aff0"/>
    <w:qFormat/>
    <w:pPr>
      <w:spacing w:after="200" w:line="276" w:lineRule="auto"/>
      <w:ind w:left="720"/>
    </w:pPr>
    <w:rPr>
      <w:rFonts w:eastAsia="Times New Roman"/>
    </w:rPr>
  </w:style>
  <w:style w:type="paragraph" w:customStyle="1" w:styleId="15">
    <w:name w:val="Текст сноски1"/>
    <w:basedOn w:val="a"/>
    <w:next w:val="aff1"/>
    <w:qFormat/>
    <w:pPr>
      <w:spacing w:after="0" w:line="240" w:lineRule="auto"/>
    </w:pPr>
    <w:rPr>
      <w:sz w:val="20"/>
      <w:szCs w:val="20"/>
    </w:rPr>
  </w:style>
  <w:style w:type="paragraph" w:customStyle="1" w:styleId="16">
    <w:name w:val="Текст концевой сноски1"/>
    <w:basedOn w:val="a"/>
    <w:next w:val="aff2"/>
    <w:qFormat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lang w:val="ru-RU" w:bidi="ar-SA"/>
    </w:rPr>
  </w:style>
  <w:style w:type="paragraph" w:customStyle="1" w:styleId="ConsNormal">
    <w:name w:val="ConsNormal"/>
    <w:qFormat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val="ru-RU" w:bidi="ar-SA"/>
    </w:rPr>
  </w:style>
  <w:style w:type="paragraph" w:customStyle="1" w:styleId="43">
    <w:name w:val="Указатель4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Название объекта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Название объекта1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7">
    <w:name w:val="Указатель2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a">
    <w:name w:val="Схема документа1"/>
    <w:basedOn w:val="a"/>
    <w:qFormat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f3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qFormat/>
    <w:pPr>
      <w:suppressAutoHyphens/>
      <w:spacing w:after="120"/>
      <w:jc w:val="left"/>
    </w:pPr>
  </w:style>
  <w:style w:type="paragraph" w:styleId="aff0">
    <w:name w:val="List Paragraph"/>
    <w:basedOn w:val="a"/>
    <w:qFormat/>
    <w:pPr>
      <w:ind w:left="720"/>
    </w:pPr>
  </w:style>
  <w:style w:type="paragraph" w:styleId="af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f2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DocList1">
    <w:name w:val="ConsPlusDocList1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Овчинникова Наталья Вячеславовна</cp:lastModifiedBy>
  <cp:revision>2</cp:revision>
  <cp:lastPrinted>2018-02-15T11:05:00Z</cp:lastPrinted>
  <dcterms:created xsi:type="dcterms:W3CDTF">2020-02-14T04:10:00Z</dcterms:created>
  <dcterms:modified xsi:type="dcterms:W3CDTF">2020-02-14T04:10:00Z</dcterms:modified>
  <dc:language>en-US</dc:language>
</cp:coreProperties>
</file>